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77F5B4A0"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6E4B59">
        <w:rPr>
          <w:rFonts w:ascii="楷体" w:eastAsia="楷体" w:hAnsi="楷体" w:hint="eastAsia"/>
          <w:sz w:val="28"/>
          <w:szCs w:val="28"/>
        </w:rPr>
        <w:t>市场消化两会信息</w:t>
      </w:r>
      <w:r w:rsidR="00CD02EA">
        <w:rPr>
          <w:rFonts w:ascii="楷体" w:eastAsia="楷体" w:hAnsi="楷体" w:hint="eastAsia"/>
          <w:sz w:val="28"/>
          <w:szCs w:val="28"/>
        </w:rPr>
        <w:t>，</w:t>
      </w:r>
      <w:r w:rsidR="006E4B59">
        <w:rPr>
          <w:rFonts w:ascii="楷体" w:eastAsia="楷体" w:hAnsi="楷体" w:hint="eastAsia"/>
          <w:sz w:val="28"/>
          <w:szCs w:val="28"/>
        </w:rPr>
        <w:t>债市短期小幅回暖</w:t>
      </w:r>
      <w:r w:rsidR="007F77B5" w:rsidRPr="00541553">
        <w:rPr>
          <w:rFonts w:ascii="楷体" w:eastAsia="楷体" w:hAnsi="楷体"/>
          <w:sz w:val="28"/>
          <w:szCs w:val="28"/>
        </w:rPr>
        <w:t xml:space="preserve"> </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66FA5BB2" w14:textId="2783ED8D" w:rsidR="004F7918" w:rsidRDefault="00B4109D" w:rsidP="00EA42E3">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近期开始召开2021年两会，根据已公布的政府工作报告，</w:t>
      </w:r>
      <w:r w:rsidR="00C8541F">
        <w:rPr>
          <w:rFonts w:ascii="华文楷体" w:hAnsi="华文楷体" w:hint="eastAsia"/>
          <w:b w:val="0"/>
          <w:bCs/>
          <w:smallCaps w:val="0"/>
          <w:color w:val="auto"/>
          <w:sz w:val="24"/>
          <w:szCs w:val="24"/>
        </w:rPr>
        <w:t>我们</w:t>
      </w:r>
      <w:r>
        <w:rPr>
          <w:rFonts w:ascii="华文楷体" w:hAnsi="华文楷体" w:hint="eastAsia"/>
          <w:b w:val="0"/>
          <w:bCs/>
          <w:smallCaps w:val="0"/>
          <w:color w:val="auto"/>
          <w:sz w:val="24"/>
          <w:szCs w:val="24"/>
        </w:rPr>
        <w:t>整理</w:t>
      </w:r>
      <w:r w:rsidR="00C8541F">
        <w:rPr>
          <w:rFonts w:ascii="华文楷体" w:hAnsi="华文楷体" w:hint="eastAsia"/>
          <w:b w:val="0"/>
          <w:bCs/>
          <w:smallCaps w:val="0"/>
          <w:color w:val="auto"/>
          <w:sz w:val="24"/>
          <w:szCs w:val="24"/>
        </w:rPr>
        <w:t>了</w:t>
      </w:r>
      <w:r>
        <w:rPr>
          <w:rFonts w:ascii="华文楷体" w:hAnsi="华文楷体" w:hint="eastAsia"/>
          <w:b w:val="0"/>
          <w:bCs/>
          <w:smallCaps w:val="0"/>
          <w:color w:val="auto"/>
          <w:sz w:val="24"/>
          <w:szCs w:val="24"/>
        </w:rPr>
        <w:t>2021年主要政策要点：</w:t>
      </w:r>
    </w:p>
    <w:p w14:paraId="5D06C6AF" w14:textId="1BD7E9F2" w:rsidR="00B4109D" w:rsidRDefault="00B4109D" w:rsidP="00B4109D">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当前整体形势及展望：新冠肺炎疫情仍在全球蔓延，国</w:t>
      </w:r>
      <w:r w:rsidR="00C8541F">
        <w:rPr>
          <w:rFonts w:ascii="华文楷体" w:hAnsi="华文楷体" w:hint="eastAsia"/>
          <w:b w:val="0"/>
          <w:bCs/>
          <w:smallCaps w:val="0"/>
          <w:color w:val="auto"/>
          <w:sz w:val="24"/>
          <w:szCs w:val="24"/>
        </w:rPr>
        <w:t>际形势中不稳定不确定因素增多，世界经济形势复杂严峻。国内疫情防控</w:t>
      </w:r>
      <w:r>
        <w:rPr>
          <w:rFonts w:ascii="华文楷体" w:hAnsi="华文楷体" w:hint="eastAsia"/>
          <w:b w:val="0"/>
          <w:bCs/>
          <w:smallCaps w:val="0"/>
          <w:color w:val="auto"/>
          <w:sz w:val="24"/>
          <w:szCs w:val="24"/>
        </w:rPr>
        <w:t>仍有薄弱环节，经济恢复基础尚不牢固，居民消费仍受制约，投资增长后劲不足，中小</w:t>
      </w:r>
      <w:proofErr w:type="gramStart"/>
      <w:r>
        <w:rPr>
          <w:rFonts w:ascii="华文楷体" w:hAnsi="华文楷体" w:hint="eastAsia"/>
          <w:b w:val="0"/>
          <w:bCs/>
          <w:smallCaps w:val="0"/>
          <w:color w:val="auto"/>
          <w:sz w:val="24"/>
          <w:szCs w:val="24"/>
        </w:rPr>
        <w:t>微企业</w:t>
      </w:r>
      <w:proofErr w:type="gramEnd"/>
      <w:r>
        <w:rPr>
          <w:rFonts w:ascii="华文楷体" w:hAnsi="华文楷体" w:hint="eastAsia"/>
          <w:b w:val="0"/>
          <w:bCs/>
          <w:smallCaps w:val="0"/>
          <w:color w:val="auto"/>
          <w:sz w:val="24"/>
          <w:szCs w:val="24"/>
        </w:rPr>
        <w:t>和个体工商户困难较多，</w:t>
      </w:r>
      <w:proofErr w:type="gramStart"/>
      <w:r>
        <w:rPr>
          <w:rFonts w:ascii="华文楷体" w:hAnsi="华文楷体" w:hint="eastAsia"/>
          <w:b w:val="0"/>
          <w:bCs/>
          <w:smallCaps w:val="0"/>
          <w:color w:val="auto"/>
          <w:sz w:val="24"/>
          <w:szCs w:val="24"/>
        </w:rPr>
        <w:t>稳就业</w:t>
      </w:r>
      <w:proofErr w:type="gramEnd"/>
      <w:r>
        <w:rPr>
          <w:rFonts w:ascii="华文楷体" w:hAnsi="华文楷体" w:hint="eastAsia"/>
          <w:b w:val="0"/>
          <w:bCs/>
          <w:smallCaps w:val="0"/>
          <w:color w:val="auto"/>
          <w:sz w:val="24"/>
          <w:szCs w:val="24"/>
        </w:rPr>
        <w:t>压力较大</w:t>
      </w:r>
      <w:r w:rsidR="003409B2">
        <w:rPr>
          <w:rFonts w:ascii="华文楷体" w:hAnsi="华文楷体" w:hint="eastAsia"/>
          <w:b w:val="0"/>
          <w:bCs/>
          <w:smallCaps w:val="0"/>
          <w:color w:val="auto"/>
          <w:sz w:val="24"/>
          <w:szCs w:val="24"/>
        </w:rPr>
        <w:t>。</w:t>
      </w:r>
      <w:r>
        <w:rPr>
          <w:rFonts w:ascii="华文楷体" w:hAnsi="华文楷体" w:hint="eastAsia"/>
          <w:b w:val="0"/>
          <w:bCs/>
          <w:smallCaps w:val="0"/>
          <w:color w:val="auto"/>
          <w:sz w:val="24"/>
          <w:szCs w:val="24"/>
        </w:rPr>
        <w:t>关键领域创新能力不强。一些地方财政收支矛盾突出，防范化解金融等领域风险任务仍然艰巨。生态环保任重道远，民生领域还有不少短板。坚持稳中求进工作总基调，立足新发展阶段，贯彻新发展理念，构建新发展格局，以推动高质量发展为主题，以深化供给侧结构性改革为主线，以改革创新为根本动力；扎实做好“六稳”工作、全面落实“六保”任务，科学精准实施宏观政策，努力保持经济运行在合理区间，坚持扩大内需战略，强化科技战略支撑，扩大高水平对外开放，保持社会和谐稳定，确保“十四五”开好局起好步。</w:t>
      </w:r>
    </w:p>
    <w:p w14:paraId="6DBA0B94" w14:textId="260F2AC6" w:rsidR="00B4109D" w:rsidRDefault="00B4109D" w:rsidP="00B4109D">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经济发展主要预期目标：今年发展主要预期目标是，国内生产总值增长6%以上；城镇新增就业1100万人以上，城镇调查失业率5.5%左右；居民消费价格涨幅3%左右；进出口</w:t>
      </w:r>
      <w:proofErr w:type="gramStart"/>
      <w:r>
        <w:rPr>
          <w:rFonts w:ascii="华文楷体" w:hAnsi="华文楷体" w:hint="eastAsia"/>
          <w:b w:val="0"/>
          <w:bCs/>
          <w:smallCaps w:val="0"/>
          <w:color w:val="auto"/>
          <w:sz w:val="24"/>
          <w:szCs w:val="24"/>
        </w:rPr>
        <w:t>量稳质升</w:t>
      </w:r>
      <w:proofErr w:type="gramEnd"/>
      <w:r>
        <w:rPr>
          <w:rFonts w:ascii="华文楷体" w:hAnsi="华文楷体" w:hint="eastAsia"/>
          <w:b w:val="0"/>
          <w:bCs/>
          <w:smallCaps w:val="0"/>
          <w:color w:val="auto"/>
          <w:sz w:val="24"/>
          <w:szCs w:val="24"/>
        </w:rPr>
        <w:t>，国际收支基本平衡；居民收入稳步增长；生态环境质量进一步改善，单位国内生产总值能耗降低3%左右，主要污染物排放量继续下降；粮食产量保持在1.3</w:t>
      </w:r>
      <w:proofErr w:type="gramStart"/>
      <w:r>
        <w:rPr>
          <w:rFonts w:ascii="华文楷体" w:hAnsi="华文楷体" w:hint="eastAsia"/>
          <w:b w:val="0"/>
          <w:bCs/>
          <w:smallCaps w:val="0"/>
          <w:color w:val="auto"/>
          <w:sz w:val="24"/>
          <w:szCs w:val="24"/>
        </w:rPr>
        <w:t>万亿斤</w:t>
      </w:r>
      <w:proofErr w:type="gramEnd"/>
      <w:r>
        <w:rPr>
          <w:rFonts w:ascii="华文楷体" w:hAnsi="华文楷体" w:hint="eastAsia"/>
          <w:b w:val="0"/>
          <w:bCs/>
          <w:smallCaps w:val="0"/>
          <w:color w:val="auto"/>
          <w:sz w:val="24"/>
          <w:szCs w:val="24"/>
        </w:rPr>
        <w:t>以上。</w:t>
      </w:r>
    </w:p>
    <w:p w14:paraId="2EE8AEAB" w14:textId="16E6B769" w:rsidR="00B4109D" w:rsidRDefault="00B4109D" w:rsidP="00B4109D">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就业政策：就业优先政策要继续强化、聚力增效。着力稳定现有岗位，对不</w:t>
      </w:r>
      <w:proofErr w:type="gramStart"/>
      <w:r>
        <w:rPr>
          <w:rFonts w:ascii="华文楷体" w:hAnsi="华文楷体" w:hint="eastAsia"/>
          <w:b w:val="0"/>
          <w:bCs/>
          <w:smallCaps w:val="0"/>
          <w:color w:val="auto"/>
          <w:sz w:val="24"/>
          <w:szCs w:val="24"/>
        </w:rPr>
        <w:t>裁员少</w:t>
      </w:r>
      <w:proofErr w:type="gramEnd"/>
      <w:r>
        <w:rPr>
          <w:rFonts w:ascii="华文楷体" w:hAnsi="华文楷体" w:hint="eastAsia"/>
          <w:b w:val="0"/>
          <w:bCs/>
          <w:smallCaps w:val="0"/>
          <w:color w:val="auto"/>
          <w:sz w:val="24"/>
          <w:szCs w:val="24"/>
        </w:rPr>
        <w:t>裁员的企业，继续</w:t>
      </w:r>
      <w:r w:rsidR="00CA0799">
        <w:rPr>
          <w:rFonts w:ascii="华文楷体" w:hAnsi="华文楷体" w:hint="eastAsia"/>
          <w:b w:val="0"/>
          <w:bCs/>
          <w:smallCaps w:val="0"/>
          <w:color w:val="auto"/>
          <w:sz w:val="24"/>
          <w:szCs w:val="24"/>
        </w:rPr>
        <w:t>给予</w:t>
      </w:r>
      <w:r>
        <w:rPr>
          <w:rFonts w:ascii="华文楷体" w:hAnsi="华文楷体" w:hint="eastAsia"/>
          <w:b w:val="0"/>
          <w:bCs/>
          <w:smallCaps w:val="0"/>
          <w:color w:val="auto"/>
          <w:sz w:val="24"/>
          <w:szCs w:val="24"/>
        </w:rPr>
        <w:t>必要的财税、金融等政策支持；拓宽市场化就业渠道，推动降低就业门槛；支持和规范发展新就业形态；继续对灵活就业人员</w:t>
      </w:r>
      <w:r w:rsidR="00CA0799">
        <w:rPr>
          <w:rFonts w:ascii="华文楷体" w:hAnsi="华文楷体" w:hint="eastAsia"/>
          <w:b w:val="0"/>
          <w:bCs/>
          <w:smallCaps w:val="0"/>
          <w:color w:val="auto"/>
          <w:sz w:val="24"/>
          <w:szCs w:val="24"/>
        </w:rPr>
        <w:t>给予</w:t>
      </w:r>
      <w:r>
        <w:rPr>
          <w:rFonts w:ascii="华文楷体" w:hAnsi="华文楷体" w:hint="eastAsia"/>
          <w:b w:val="0"/>
          <w:bCs/>
          <w:smallCaps w:val="0"/>
          <w:color w:val="auto"/>
          <w:sz w:val="24"/>
          <w:szCs w:val="24"/>
        </w:rPr>
        <w:t>社保补贴，</w:t>
      </w:r>
      <w:r w:rsidR="00CA0799">
        <w:rPr>
          <w:rFonts w:ascii="华文楷体" w:hAnsi="华文楷体" w:hint="eastAsia"/>
          <w:b w:val="0"/>
          <w:bCs/>
          <w:smallCaps w:val="0"/>
          <w:color w:val="auto"/>
          <w:sz w:val="24"/>
          <w:szCs w:val="24"/>
        </w:rPr>
        <w:t>做好重点群体就业工作，完善困难人员就业帮扶政策；拓宽职业技能培训资金使用范围；运用就业专项补助等资金，</w:t>
      </w:r>
      <w:r w:rsidR="00C8541F">
        <w:rPr>
          <w:rFonts w:ascii="华文楷体" w:hAnsi="华文楷体" w:hint="eastAsia"/>
          <w:b w:val="0"/>
          <w:bCs/>
          <w:smallCaps w:val="0"/>
          <w:color w:val="auto"/>
          <w:sz w:val="24"/>
          <w:szCs w:val="24"/>
        </w:rPr>
        <w:t>为</w:t>
      </w:r>
      <w:r w:rsidR="00CA0799">
        <w:rPr>
          <w:rFonts w:ascii="华文楷体" w:hAnsi="华文楷体" w:hint="eastAsia"/>
          <w:b w:val="0"/>
          <w:bCs/>
          <w:smallCaps w:val="0"/>
          <w:color w:val="auto"/>
          <w:sz w:val="24"/>
          <w:szCs w:val="24"/>
        </w:rPr>
        <w:t>有</w:t>
      </w:r>
      <w:r w:rsidR="00C8541F">
        <w:rPr>
          <w:rFonts w:ascii="华文楷体" w:hAnsi="华文楷体" w:hint="eastAsia"/>
          <w:b w:val="0"/>
          <w:bCs/>
          <w:smallCaps w:val="0"/>
          <w:color w:val="auto"/>
          <w:sz w:val="24"/>
          <w:szCs w:val="24"/>
        </w:rPr>
        <w:t>意愿</w:t>
      </w:r>
      <w:r w:rsidR="00CA0799">
        <w:rPr>
          <w:rFonts w:ascii="华文楷体" w:hAnsi="华文楷体" w:hint="eastAsia"/>
          <w:b w:val="0"/>
          <w:bCs/>
          <w:smallCaps w:val="0"/>
          <w:color w:val="auto"/>
          <w:sz w:val="24"/>
          <w:szCs w:val="24"/>
        </w:rPr>
        <w:t>有能力的人创造更多公平就业机会。</w:t>
      </w:r>
    </w:p>
    <w:p w14:paraId="462A426F" w14:textId="33954972" w:rsidR="00CA0799" w:rsidRDefault="00CA0799" w:rsidP="00B4109D">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货币政策：</w:t>
      </w:r>
      <w:r w:rsidR="00C8541F">
        <w:rPr>
          <w:rFonts w:ascii="华文楷体" w:hAnsi="华文楷体" w:hint="eastAsia"/>
          <w:b w:val="0"/>
          <w:bCs/>
          <w:smallCaps w:val="0"/>
          <w:color w:val="auto"/>
          <w:sz w:val="24"/>
          <w:szCs w:val="24"/>
        </w:rPr>
        <w:t>稳健</w:t>
      </w:r>
      <w:r>
        <w:rPr>
          <w:rFonts w:ascii="华文楷体" w:hAnsi="华文楷体" w:hint="eastAsia"/>
          <w:b w:val="0"/>
          <w:bCs/>
          <w:smallCaps w:val="0"/>
          <w:color w:val="auto"/>
          <w:sz w:val="24"/>
          <w:szCs w:val="24"/>
        </w:rPr>
        <w:t>的货币政策要灵活精准、合理适度、把服务实体经济放到更加突出的位置，处理好恢复经济与防范风险的关系。货币供应量和社会融资规模增速与名义经济增速基本匹配，保持流动性合理充裕，保持宏观杠杆率基本稳定，保持人民币汇率在合理均衡水平上的基本稳定。进一步解决</w:t>
      </w:r>
      <w:r w:rsidR="00C8541F">
        <w:rPr>
          <w:rFonts w:ascii="华文楷体" w:hAnsi="华文楷体" w:hint="eastAsia"/>
          <w:b w:val="0"/>
          <w:bCs/>
          <w:smallCaps w:val="0"/>
          <w:color w:val="auto"/>
          <w:sz w:val="24"/>
          <w:szCs w:val="24"/>
        </w:rPr>
        <w:t>小</w:t>
      </w:r>
      <w:proofErr w:type="gramStart"/>
      <w:r w:rsidR="00C8541F">
        <w:rPr>
          <w:rFonts w:ascii="华文楷体" w:hAnsi="华文楷体" w:hint="eastAsia"/>
          <w:b w:val="0"/>
          <w:bCs/>
          <w:smallCaps w:val="0"/>
          <w:color w:val="auto"/>
          <w:sz w:val="24"/>
          <w:szCs w:val="24"/>
        </w:rPr>
        <w:t>微</w:t>
      </w:r>
      <w:r>
        <w:rPr>
          <w:rFonts w:ascii="华文楷体" w:hAnsi="华文楷体" w:hint="eastAsia"/>
          <w:b w:val="0"/>
          <w:bCs/>
          <w:smallCaps w:val="0"/>
          <w:color w:val="auto"/>
          <w:sz w:val="24"/>
          <w:szCs w:val="24"/>
        </w:rPr>
        <w:t>企业</w:t>
      </w:r>
      <w:proofErr w:type="gramEnd"/>
      <w:r>
        <w:rPr>
          <w:rFonts w:ascii="华文楷体" w:hAnsi="华文楷体" w:hint="eastAsia"/>
          <w:b w:val="0"/>
          <w:bCs/>
          <w:smallCaps w:val="0"/>
          <w:color w:val="auto"/>
          <w:sz w:val="24"/>
          <w:szCs w:val="24"/>
        </w:rPr>
        <w:t>融资难题，延续普惠小</w:t>
      </w:r>
      <w:proofErr w:type="gramStart"/>
      <w:r>
        <w:rPr>
          <w:rFonts w:ascii="华文楷体" w:hAnsi="华文楷体" w:hint="eastAsia"/>
          <w:b w:val="0"/>
          <w:bCs/>
          <w:smallCaps w:val="0"/>
          <w:color w:val="auto"/>
          <w:sz w:val="24"/>
          <w:szCs w:val="24"/>
        </w:rPr>
        <w:t>微企业</w:t>
      </w:r>
      <w:proofErr w:type="gramEnd"/>
      <w:r>
        <w:rPr>
          <w:rFonts w:ascii="华文楷体" w:hAnsi="华文楷体" w:hint="eastAsia"/>
          <w:b w:val="0"/>
          <w:bCs/>
          <w:smallCaps w:val="0"/>
          <w:color w:val="auto"/>
          <w:sz w:val="24"/>
          <w:szCs w:val="24"/>
        </w:rPr>
        <w:t>贷款延期还本付息政策。大型商业银行普惠小</w:t>
      </w:r>
      <w:proofErr w:type="gramStart"/>
      <w:r>
        <w:rPr>
          <w:rFonts w:ascii="华文楷体" w:hAnsi="华文楷体" w:hint="eastAsia"/>
          <w:b w:val="0"/>
          <w:bCs/>
          <w:smallCaps w:val="0"/>
          <w:color w:val="auto"/>
          <w:sz w:val="24"/>
          <w:szCs w:val="24"/>
        </w:rPr>
        <w:t>微企业</w:t>
      </w:r>
      <w:proofErr w:type="gramEnd"/>
      <w:r>
        <w:rPr>
          <w:rFonts w:ascii="华文楷体" w:hAnsi="华文楷体" w:hint="eastAsia"/>
          <w:b w:val="0"/>
          <w:bCs/>
          <w:smallCaps w:val="0"/>
          <w:color w:val="auto"/>
          <w:sz w:val="24"/>
          <w:szCs w:val="24"/>
        </w:rPr>
        <w:t>贷款增长30%以上。优化存款利率监管，推动实际贷款利率进一步降低，继续引导金融系统向实体经济让利。今年务必做到</w:t>
      </w:r>
      <w:r w:rsidR="00C8541F">
        <w:rPr>
          <w:rFonts w:ascii="华文楷体" w:hAnsi="华文楷体" w:hint="eastAsia"/>
          <w:b w:val="0"/>
          <w:bCs/>
          <w:smallCaps w:val="0"/>
          <w:color w:val="auto"/>
          <w:sz w:val="24"/>
          <w:szCs w:val="24"/>
        </w:rPr>
        <w:t>小</w:t>
      </w:r>
      <w:proofErr w:type="gramStart"/>
      <w:r w:rsidR="00C8541F">
        <w:rPr>
          <w:rFonts w:ascii="华文楷体" w:hAnsi="华文楷体" w:hint="eastAsia"/>
          <w:b w:val="0"/>
          <w:bCs/>
          <w:smallCaps w:val="0"/>
          <w:color w:val="auto"/>
          <w:sz w:val="24"/>
          <w:szCs w:val="24"/>
        </w:rPr>
        <w:t>微</w:t>
      </w:r>
      <w:r>
        <w:rPr>
          <w:rFonts w:ascii="华文楷体" w:hAnsi="华文楷体" w:hint="eastAsia"/>
          <w:b w:val="0"/>
          <w:bCs/>
          <w:smallCaps w:val="0"/>
          <w:color w:val="auto"/>
          <w:sz w:val="24"/>
          <w:szCs w:val="24"/>
        </w:rPr>
        <w:t>企业</w:t>
      </w:r>
      <w:proofErr w:type="gramEnd"/>
      <w:r>
        <w:rPr>
          <w:rFonts w:ascii="华文楷体" w:hAnsi="华文楷体" w:hint="eastAsia"/>
          <w:b w:val="0"/>
          <w:bCs/>
          <w:smallCaps w:val="0"/>
          <w:color w:val="auto"/>
          <w:sz w:val="24"/>
          <w:szCs w:val="24"/>
        </w:rPr>
        <w:t>融资更便利、综合融资成本稳中有降。</w:t>
      </w:r>
    </w:p>
    <w:p w14:paraId="066B1F9A" w14:textId="2F4F563F" w:rsidR="00CA0799" w:rsidRDefault="00CA0799" w:rsidP="00B4109D">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财政政策：积极的财政政策要提质增效、更可持续。考虑到疫情得到有效控制和经济逐步恢复，今年赤字率拟按3.2%左右安排、比去年有所下调，不再发行抗</w:t>
      </w:r>
      <w:proofErr w:type="gramStart"/>
      <w:r>
        <w:rPr>
          <w:rFonts w:ascii="华文楷体" w:hAnsi="华文楷体" w:hint="eastAsia"/>
          <w:b w:val="0"/>
          <w:bCs/>
          <w:smallCaps w:val="0"/>
          <w:color w:val="auto"/>
          <w:sz w:val="24"/>
          <w:szCs w:val="24"/>
        </w:rPr>
        <w:t>疫</w:t>
      </w:r>
      <w:proofErr w:type="gramEnd"/>
      <w:r>
        <w:rPr>
          <w:rFonts w:ascii="华文楷体" w:hAnsi="华文楷体" w:hint="eastAsia"/>
          <w:b w:val="0"/>
          <w:bCs/>
          <w:smallCaps w:val="0"/>
          <w:color w:val="auto"/>
          <w:sz w:val="24"/>
          <w:szCs w:val="24"/>
        </w:rPr>
        <w:t>特别国债。财政支出重点</w:t>
      </w:r>
      <w:proofErr w:type="gramStart"/>
      <w:r>
        <w:rPr>
          <w:rFonts w:ascii="华文楷体" w:hAnsi="华文楷体" w:hint="eastAsia"/>
          <w:b w:val="0"/>
          <w:bCs/>
          <w:smallCaps w:val="0"/>
          <w:color w:val="auto"/>
          <w:sz w:val="24"/>
          <w:szCs w:val="24"/>
        </w:rPr>
        <w:t>仍是加大</w:t>
      </w:r>
      <w:proofErr w:type="gramEnd"/>
      <w:r>
        <w:rPr>
          <w:rFonts w:ascii="华文楷体" w:hAnsi="华文楷体" w:hint="eastAsia"/>
          <w:b w:val="0"/>
          <w:bCs/>
          <w:smallCaps w:val="0"/>
          <w:color w:val="auto"/>
          <w:sz w:val="24"/>
          <w:szCs w:val="24"/>
        </w:rPr>
        <w:t>对保就业保民生保市场主体的支持力度；中央本级支出继续安排负增长，进一步大幅减压非急需非刚性支出，对地方一般性转移支付增长7.8%、增幅明显高于去年；建立常态化财政资金直达机制并扩大范围，将2.8</w:t>
      </w:r>
      <w:proofErr w:type="gramStart"/>
      <w:r>
        <w:rPr>
          <w:rFonts w:ascii="华文楷体" w:hAnsi="华文楷体" w:hint="eastAsia"/>
          <w:b w:val="0"/>
          <w:bCs/>
          <w:smallCaps w:val="0"/>
          <w:color w:val="auto"/>
          <w:sz w:val="24"/>
          <w:szCs w:val="24"/>
        </w:rPr>
        <w:t>万亿</w:t>
      </w:r>
      <w:proofErr w:type="gramEnd"/>
      <w:r>
        <w:rPr>
          <w:rFonts w:ascii="华文楷体" w:hAnsi="华文楷体" w:hint="eastAsia"/>
          <w:b w:val="0"/>
          <w:bCs/>
          <w:smallCaps w:val="0"/>
          <w:color w:val="auto"/>
          <w:sz w:val="24"/>
          <w:szCs w:val="24"/>
        </w:rPr>
        <w:t>元中央财政资金纳入直达机制、规模明显大于去年。</w:t>
      </w:r>
      <w:r>
        <w:rPr>
          <w:rFonts w:ascii="华文楷体" w:hAnsi="华文楷体" w:hint="eastAsia"/>
          <w:b w:val="0"/>
          <w:bCs/>
          <w:smallCaps w:val="0"/>
          <w:color w:val="auto"/>
          <w:sz w:val="24"/>
          <w:szCs w:val="24"/>
        </w:rPr>
        <w:lastRenderedPageBreak/>
        <w:t>优化和落实减税政策。继续执行制度性减税政策，延长小规模纳税人增值税起征点从月销售额10万元提高到15万元。对小</w:t>
      </w:r>
      <w:proofErr w:type="gramStart"/>
      <w:r>
        <w:rPr>
          <w:rFonts w:ascii="华文楷体" w:hAnsi="华文楷体" w:hint="eastAsia"/>
          <w:b w:val="0"/>
          <w:bCs/>
          <w:smallCaps w:val="0"/>
          <w:color w:val="auto"/>
          <w:sz w:val="24"/>
          <w:szCs w:val="24"/>
        </w:rPr>
        <w:t>微企业</w:t>
      </w:r>
      <w:proofErr w:type="gramEnd"/>
      <w:r>
        <w:rPr>
          <w:rFonts w:ascii="华文楷体" w:hAnsi="华文楷体" w:hint="eastAsia"/>
          <w:b w:val="0"/>
          <w:bCs/>
          <w:smallCaps w:val="0"/>
          <w:color w:val="auto"/>
          <w:sz w:val="24"/>
          <w:szCs w:val="24"/>
        </w:rPr>
        <w:t>和个体工商户年应纳税所得额不到100万元的部分，在现行优惠政策基础上，再减半征收所得税。</w:t>
      </w:r>
    </w:p>
    <w:p w14:paraId="11AC8116" w14:textId="6FC20F9A" w:rsidR="00CA0799" w:rsidRDefault="00CA0799" w:rsidP="00B4109D">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最后，今年的工作任务：要更好统筹疫情</w:t>
      </w:r>
      <w:r w:rsidR="00495E28">
        <w:rPr>
          <w:rFonts w:ascii="华文楷体" w:hAnsi="华文楷体" w:hint="eastAsia"/>
          <w:b w:val="0"/>
          <w:bCs/>
          <w:smallCaps w:val="0"/>
          <w:color w:val="auto"/>
          <w:sz w:val="24"/>
          <w:szCs w:val="24"/>
        </w:rPr>
        <w:t>防控</w:t>
      </w:r>
      <w:r>
        <w:rPr>
          <w:rFonts w:ascii="华文楷体" w:hAnsi="华文楷体" w:hint="eastAsia"/>
          <w:b w:val="0"/>
          <w:bCs/>
          <w:smallCaps w:val="0"/>
          <w:color w:val="auto"/>
          <w:sz w:val="24"/>
          <w:szCs w:val="24"/>
        </w:rPr>
        <w:t>和经济社会发展。保持宏观政策连续性稳定性可持续性，促进经济运行在合理区间；深入推进重点领域改革，更大激发市场主体活力；依靠创新推动实体经济高质量发展，培育壮大新功能；坚持扩大内需这个战略基点，充分挖掘国内市场潜力；全面实施乡村振兴战略，促进农业稳定发展和农民增收；实行高水平对外开放，促进外贸外资稳中提质；加强污染防治和生态建设，继续改善环境质量；切实增进民生福祉，不断提高社会建设水平。</w:t>
      </w:r>
    </w:p>
    <w:p w14:paraId="08341563" w14:textId="77777777" w:rsidR="00F01277" w:rsidRDefault="00F01277" w:rsidP="00F01277">
      <w:pPr>
        <w:pStyle w:val="Header1"/>
        <w:spacing w:before="240"/>
        <w:ind w:firstLine="480"/>
        <w:rPr>
          <w:rFonts w:ascii="华文楷体" w:hAnsi="华文楷体"/>
          <w:b w:val="0"/>
          <w:bCs/>
          <w:smallCaps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155567FE"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3C6AC1">
        <w:rPr>
          <w:rFonts w:ascii="华文楷体" w:hAnsi="华文楷体" w:hint="eastAsia"/>
          <w:sz w:val="24"/>
          <w:szCs w:val="24"/>
          <w:lang w:eastAsia="zh-CN"/>
        </w:rPr>
        <w:t>净</w:t>
      </w:r>
      <w:r w:rsidR="006E4B59">
        <w:rPr>
          <w:rFonts w:ascii="华文楷体" w:hAnsi="华文楷体" w:hint="eastAsia"/>
          <w:sz w:val="24"/>
          <w:szCs w:val="24"/>
          <w:lang w:eastAsia="zh-CN"/>
        </w:rPr>
        <w:t>回笼250亿，</w:t>
      </w:r>
      <w:r w:rsidR="003E35B0">
        <w:rPr>
          <w:rFonts w:ascii="华文楷体" w:hAnsi="华文楷体" w:hint="eastAsia"/>
          <w:sz w:val="24"/>
          <w:szCs w:val="24"/>
          <w:lang w:eastAsia="zh-CN"/>
        </w:rPr>
        <w:t>资金</w:t>
      </w:r>
      <w:proofErr w:type="gramStart"/>
      <w:r w:rsidR="003E35B0">
        <w:rPr>
          <w:rFonts w:ascii="华文楷体" w:hAnsi="华文楷体" w:hint="eastAsia"/>
          <w:sz w:val="24"/>
          <w:szCs w:val="24"/>
          <w:lang w:eastAsia="zh-CN"/>
        </w:rPr>
        <w:t>面整体</w:t>
      </w:r>
      <w:proofErr w:type="gramEnd"/>
      <w:r w:rsidR="003E35B0">
        <w:rPr>
          <w:rFonts w:ascii="华文楷体" w:hAnsi="华文楷体" w:hint="eastAsia"/>
          <w:sz w:val="24"/>
          <w:szCs w:val="24"/>
          <w:lang w:eastAsia="zh-CN"/>
        </w:rPr>
        <w:t>相对平稳</w:t>
      </w:r>
      <w:r w:rsidR="006E4B59">
        <w:rPr>
          <w:rFonts w:ascii="华文楷体" w:hAnsi="华文楷体" w:hint="eastAsia"/>
          <w:sz w:val="24"/>
          <w:szCs w:val="24"/>
          <w:lang w:eastAsia="zh-CN"/>
        </w:rPr>
        <w:t>，震荡为主</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6E4B59">
        <w:rPr>
          <w:rFonts w:ascii="华文楷体" w:hAnsi="华文楷体" w:hint="eastAsia"/>
          <w:sz w:val="24"/>
          <w:szCs w:val="24"/>
          <w:lang w:eastAsia="zh-CN"/>
        </w:rPr>
        <w:t>下行60</w:t>
      </w:r>
      <w:r w:rsidR="00D9413F">
        <w:rPr>
          <w:rFonts w:ascii="华文楷体" w:hAnsi="华文楷体" w:hint="eastAsia"/>
          <w:sz w:val="24"/>
          <w:szCs w:val="24"/>
          <w:lang w:eastAsia="zh-CN"/>
        </w:rPr>
        <w:t>BP至</w:t>
      </w:r>
      <w:r w:rsidR="009C77AF">
        <w:rPr>
          <w:rFonts w:ascii="华文楷体" w:hAnsi="华文楷体"/>
          <w:sz w:val="24"/>
          <w:szCs w:val="24"/>
          <w:lang w:eastAsia="zh-CN"/>
        </w:rPr>
        <w:t>1</w:t>
      </w:r>
      <w:r w:rsidR="006E4B59">
        <w:rPr>
          <w:rFonts w:ascii="华文楷体" w:hAnsi="华文楷体" w:hint="eastAsia"/>
          <w:sz w:val="24"/>
          <w:szCs w:val="24"/>
          <w:lang w:eastAsia="zh-CN"/>
        </w:rPr>
        <w:t>.61</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6E4B59">
        <w:rPr>
          <w:rFonts w:ascii="华文楷体" w:hAnsi="华文楷体" w:hint="eastAsia"/>
          <w:sz w:val="24"/>
          <w:szCs w:val="24"/>
          <w:lang w:eastAsia="zh-CN"/>
        </w:rPr>
        <w:t>下</w:t>
      </w:r>
      <w:r w:rsidR="009C77AF">
        <w:rPr>
          <w:rFonts w:ascii="华文楷体" w:hAnsi="华文楷体" w:hint="eastAsia"/>
          <w:sz w:val="24"/>
          <w:szCs w:val="24"/>
          <w:lang w:eastAsia="zh-CN"/>
        </w:rPr>
        <w:t>行3</w:t>
      </w:r>
      <w:r w:rsidR="006E4B59">
        <w:rPr>
          <w:rFonts w:ascii="华文楷体" w:hAnsi="华文楷体" w:hint="eastAsia"/>
          <w:sz w:val="24"/>
          <w:szCs w:val="24"/>
          <w:lang w:eastAsia="zh-CN"/>
        </w:rPr>
        <w:t>7</w:t>
      </w:r>
      <w:r w:rsidR="00D9413F">
        <w:rPr>
          <w:rFonts w:ascii="华文楷体" w:hAnsi="华文楷体" w:hint="eastAsia"/>
          <w:sz w:val="24"/>
          <w:szCs w:val="24"/>
          <w:lang w:eastAsia="zh-CN"/>
        </w:rPr>
        <w:t>BP至</w:t>
      </w:r>
      <w:r w:rsidR="006E4B59">
        <w:rPr>
          <w:rFonts w:ascii="华文楷体" w:hAnsi="华文楷体" w:hint="eastAsia"/>
          <w:sz w:val="24"/>
          <w:szCs w:val="24"/>
          <w:lang w:eastAsia="zh-CN"/>
        </w:rPr>
        <w:t>2.00</w:t>
      </w:r>
      <w:r>
        <w:rPr>
          <w:rFonts w:ascii="华文楷体" w:hAnsi="华文楷体" w:hint="eastAsia"/>
          <w:sz w:val="24"/>
          <w:szCs w:val="24"/>
          <w:lang w:eastAsia="zh-CN"/>
        </w:rPr>
        <w:t>%</w:t>
      </w:r>
      <w:r w:rsidR="007F77B5">
        <w:rPr>
          <w:rFonts w:ascii="华文楷体" w:hAnsi="华文楷体" w:hint="eastAsia"/>
          <w:sz w:val="24"/>
          <w:szCs w:val="24"/>
          <w:lang w:eastAsia="zh-CN"/>
        </w:rPr>
        <w:t>，银行间开盘利率</w:t>
      </w:r>
      <w:r w:rsidR="00FF2720">
        <w:rPr>
          <w:rFonts w:ascii="华文楷体" w:hAnsi="华文楷体" w:hint="eastAsia"/>
          <w:sz w:val="24"/>
          <w:szCs w:val="24"/>
          <w:lang w:eastAsia="zh-CN"/>
        </w:rPr>
        <w:t>回归至隔夜2</w:t>
      </w:r>
      <w:r w:rsidR="00FF2720">
        <w:rPr>
          <w:rFonts w:ascii="华文楷体" w:hAnsi="华文楷体"/>
          <w:sz w:val="24"/>
          <w:szCs w:val="24"/>
          <w:lang w:eastAsia="zh-CN"/>
        </w:rPr>
        <w:t>.1</w:t>
      </w:r>
      <w:r w:rsidR="00FF2720">
        <w:rPr>
          <w:rFonts w:ascii="华文楷体" w:hAnsi="华文楷体" w:hint="eastAsia"/>
          <w:sz w:val="24"/>
          <w:szCs w:val="24"/>
          <w:lang w:eastAsia="zh-CN"/>
        </w:rPr>
        <w:t>%，7天2</w:t>
      </w:r>
      <w:r w:rsidR="00FF2720">
        <w:rPr>
          <w:rFonts w:ascii="华文楷体" w:hAnsi="华文楷体"/>
          <w:sz w:val="24"/>
          <w:szCs w:val="24"/>
          <w:lang w:eastAsia="zh-CN"/>
        </w:rPr>
        <w:t>.2</w:t>
      </w:r>
      <w:r w:rsidR="00FF2720">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开盘利率持续稳定</w:t>
      </w:r>
      <w:r w:rsidR="007F77B5">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6E4B59">
        <w:tblPrEx>
          <w:tblCellMar>
            <w:left w:w="108" w:type="dxa"/>
            <w:right w:w="108" w:type="dxa"/>
          </w:tblCellMar>
        </w:tblPrEx>
        <w:trPr>
          <w:jc w:val="center"/>
        </w:trPr>
        <w:tc>
          <w:tcPr>
            <w:tcW w:w="4939" w:type="dxa"/>
            <w:vAlign w:val="center"/>
          </w:tcPr>
          <w:p w14:paraId="60AEAEDC" w14:textId="41CA8814" w:rsidR="00E0626C" w:rsidRPr="003C6AC1" w:rsidRDefault="006E4B59" w:rsidP="009A2BA0">
            <w:pPr>
              <w:jc w:val="center"/>
              <w:rPr>
                <w:noProof/>
                <w:sz w:val="20"/>
              </w:rPr>
            </w:pPr>
            <w:r>
              <w:rPr>
                <w:noProof/>
              </w:rPr>
              <w:drawing>
                <wp:inline distT="0" distB="0" distL="0" distR="0" wp14:anchorId="11D32C94" wp14:editId="759737A3">
                  <wp:extent cx="2999105" cy="1724838"/>
                  <wp:effectExtent l="0" t="0" r="0" b="8890"/>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7AA182F6" w:rsidR="00E0626C" w:rsidRPr="00F62F43" w:rsidRDefault="006E4B59" w:rsidP="009A2BA0">
            <w:pPr>
              <w:jc w:val="center"/>
              <w:rPr>
                <w:noProof/>
                <w:sz w:val="16"/>
                <w:szCs w:val="18"/>
              </w:rPr>
            </w:pPr>
            <w:r>
              <w:rPr>
                <w:noProof/>
              </w:rPr>
              <w:drawing>
                <wp:inline distT="0" distB="0" distL="0" distR="0" wp14:anchorId="212A02D1" wp14:editId="21AD7BA8">
                  <wp:extent cx="3050439" cy="1711960"/>
                  <wp:effectExtent l="0" t="0" r="0" b="2540"/>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3C8B557D" w:rsidR="00A917BC" w:rsidRPr="00A917BC" w:rsidRDefault="006E4B59"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中短</w:t>
      </w:r>
      <w:proofErr w:type="gramStart"/>
      <w:r>
        <w:rPr>
          <w:rFonts w:ascii="华文楷体" w:hAnsi="华文楷体" w:hint="eastAsia"/>
          <w:sz w:val="24"/>
          <w:szCs w:val="24"/>
          <w:lang w:eastAsia="zh-CN"/>
        </w:rPr>
        <w:t>端出现</w:t>
      </w:r>
      <w:proofErr w:type="gramEnd"/>
      <w:r>
        <w:rPr>
          <w:rFonts w:ascii="华文楷体" w:hAnsi="华文楷体" w:hint="eastAsia"/>
          <w:sz w:val="24"/>
          <w:szCs w:val="24"/>
          <w:lang w:eastAsia="zh-CN"/>
        </w:rPr>
        <w:t>一定震荡，1Y</w:t>
      </w:r>
      <w:proofErr w:type="gramStart"/>
      <w:r>
        <w:rPr>
          <w:rFonts w:ascii="华文楷体" w:hAnsi="华文楷体" w:hint="eastAsia"/>
          <w:sz w:val="24"/>
          <w:szCs w:val="24"/>
          <w:lang w:eastAsia="zh-CN"/>
        </w:rPr>
        <w:t>内品种</w:t>
      </w:r>
      <w:proofErr w:type="gramEnd"/>
      <w:r>
        <w:rPr>
          <w:rFonts w:ascii="华文楷体" w:hAnsi="华文楷体" w:hint="eastAsia"/>
          <w:sz w:val="24"/>
          <w:szCs w:val="24"/>
          <w:lang w:eastAsia="zh-CN"/>
        </w:rPr>
        <w:t>适度上行，长端适度下行，两会预期基本落地，2021年市场供给较2020年小幅回落，但考虑到今年贷款利率上行压力，需求也可能适度减弱</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DB5693">
        <w:rPr>
          <w:rFonts w:ascii="华文楷体" w:hAnsi="华文楷体"/>
          <w:sz w:val="24"/>
          <w:szCs w:val="24"/>
          <w:lang w:eastAsia="zh-CN"/>
        </w:rPr>
        <w:t>6</w:t>
      </w:r>
      <w:r>
        <w:rPr>
          <w:rFonts w:ascii="华文楷体" w:hAnsi="华文楷体" w:hint="eastAsia"/>
          <w:sz w:val="24"/>
          <w:szCs w:val="24"/>
          <w:lang w:eastAsia="zh-CN"/>
        </w:rPr>
        <w:t>1</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Pr>
          <w:rFonts w:ascii="华文楷体" w:hAnsi="华文楷体" w:hint="eastAsia"/>
          <w:sz w:val="24"/>
          <w:szCs w:val="24"/>
          <w:lang w:eastAsia="zh-CN"/>
        </w:rPr>
        <w:t>95</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Pr>
          <w:rFonts w:ascii="华文楷体" w:hAnsi="华文楷体" w:hint="eastAsia"/>
          <w:sz w:val="24"/>
          <w:szCs w:val="24"/>
          <w:lang w:eastAsia="zh-CN"/>
        </w:rPr>
        <w:t>下行3.4</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Pr>
          <w:rFonts w:ascii="华文楷体" w:hAnsi="华文楷体" w:hint="eastAsia"/>
          <w:sz w:val="24"/>
          <w:szCs w:val="24"/>
          <w:lang w:eastAsia="zh-CN"/>
        </w:rPr>
        <w:t>下行</w:t>
      </w:r>
      <w:proofErr w:type="gramEnd"/>
      <w:r>
        <w:rPr>
          <w:rFonts w:ascii="华文楷体" w:hAnsi="华文楷体" w:hint="eastAsia"/>
          <w:sz w:val="24"/>
          <w:szCs w:val="24"/>
          <w:lang w:eastAsia="zh-CN"/>
        </w:rPr>
        <w:t>8.0</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4F02B1">
        <w:rPr>
          <w:rFonts w:ascii="华文楷体" w:hAnsi="华文楷体" w:hint="eastAsia"/>
          <w:sz w:val="24"/>
          <w:szCs w:val="24"/>
          <w:lang w:eastAsia="zh-CN"/>
        </w:rPr>
        <w:t>维持</w:t>
      </w:r>
      <w:proofErr w:type="gramEnd"/>
      <w:r w:rsidR="004F02B1">
        <w:rPr>
          <w:rFonts w:ascii="华文楷体" w:hAnsi="华文楷体" w:hint="eastAsia"/>
          <w:sz w:val="24"/>
          <w:szCs w:val="24"/>
          <w:lang w:eastAsia="zh-CN"/>
        </w:rPr>
        <w:t>在</w:t>
      </w:r>
      <w:r w:rsidR="00DB5693">
        <w:rPr>
          <w:rFonts w:ascii="华文楷体" w:hAnsi="华文楷体"/>
          <w:sz w:val="24"/>
          <w:szCs w:val="24"/>
          <w:lang w:eastAsia="zh-CN"/>
        </w:rPr>
        <w:t>4</w:t>
      </w:r>
      <w:r>
        <w:rPr>
          <w:rFonts w:ascii="华文楷体" w:hAnsi="华文楷体" w:hint="eastAsia"/>
          <w:sz w:val="24"/>
          <w:szCs w:val="24"/>
          <w:lang w:eastAsia="zh-CN"/>
        </w:rPr>
        <w:t>3</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lastRenderedPageBreak/>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6E4B59">
        <w:tblPrEx>
          <w:tblCellMar>
            <w:left w:w="108" w:type="dxa"/>
            <w:right w:w="108" w:type="dxa"/>
          </w:tblCellMar>
        </w:tblPrEx>
        <w:trPr>
          <w:jc w:val="center"/>
        </w:trPr>
        <w:tc>
          <w:tcPr>
            <w:tcW w:w="4939" w:type="dxa"/>
            <w:vAlign w:val="center"/>
          </w:tcPr>
          <w:p w14:paraId="678C97B0" w14:textId="52C60729" w:rsidR="00E0626C" w:rsidRPr="007E0340" w:rsidRDefault="006E4B59" w:rsidP="002104B2">
            <w:pPr>
              <w:rPr>
                <w:noProof/>
              </w:rPr>
            </w:pPr>
            <w:r>
              <w:rPr>
                <w:noProof/>
              </w:rPr>
              <w:drawing>
                <wp:inline distT="0" distB="0" distL="0" distR="0" wp14:anchorId="120D97E6" wp14:editId="1677DC36">
                  <wp:extent cx="2999105" cy="1750695"/>
                  <wp:effectExtent l="0" t="0" r="0" b="1905"/>
                  <wp:docPr id="6" name="图表 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03AF672B" w:rsidR="00E0626C" w:rsidRPr="007E0340" w:rsidRDefault="006E4B59" w:rsidP="009A2BA0">
            <w:pPr>
              <w:jc w:val="center"/>
              <w:rPr>
                <w:noProof/>
                <w:szCs w:val="18"/>
              </w:rPr>
            </w:pPr>
            <w:r>
              <w:rPr>
                <w:noProof/>
              </w:rPr>
              <w:drawing>
                <wp:inline distT="0" distB="0" distL="0" distR="0" wp14:anchorId="7B158501" wp14:editId="2B42D38C">
                  <wp:extent cx="2998470" cy="1735963"/>
                  <wp:effectExtent l="0" t="0" r="0" b="0"/>
                  <wp:docPr id="8" name="图表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20D4F693"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77705A" w:rsidRPr="0077705A">
        <w:rPr>
          <w:rFonts w:ascii="华文楷体" w:hAnsi="华文楷体" w:hint="eastAsia"/>
          <w:sz w:val="24"/>
          <w:szCs w:val="24"/>
          <w:lang w:eastAsia="zh-CN"/>
        </w:rPr>
        <w:t>各期限品种均有不同程度下行，1Y中短票据下行8BP左右，3Y期限品种企业债下行幅度较大，幅度在7-10BP；5-7Y品种普遍下行3-10BP，其中5Y</w:t>
      </w:r>
      <w:proofErr w:type="gramStart"/>
      <w:r w:rsidR="0077705A" w:rsidRPr="0077705A">
        <w:rPr>
          <w:rFonts w:ascii="华文楷体" w:hAnsi="华文楷体" w:hint="eastAsia"/>
          <w:sz w:val="24"/>
          <w:szCs w:val="24"/>
          <w:lang w:eastAsia="zh-CN"/>
        </w:rPr>
        <w:t>城投债下行</w:t>
      </w:r>
      <w:proofErr w:type="gramEnd"/>
      <w:r w:rsidR="0077705A" w:rsidRPr="0077705A">
        <w:rPr>
          <w:rFonts w:ascii="华文楷体" w:hAnsi="华文楷体" w:hint="eastAsia"/>
          <w:sz w:val="24"/>
          <w:szCs w:val="24"/>
          <w:lang w:eastAsia="zh-CN"/>
        </w:rPr>
        <w:t>幅度略大，AAA评级品种和AA+评级品种分别</w:t>
      </w:r>
      <w:r w:rsidR="00DB28B0">
        <w:rPr>
          <w:rFonts w:ascii="华文楷体" w:hAnsi="华文楷体" w:hint="eastAsia"/>
          <w:sz w:val="24"/>
          <w:szCs w:val="24"/>
          <w:lang w:eastAsia="zh-CN"/>
        </w:rPr>
        <w:t>下行</w:t>
      </w:r>
      <w:r w:rsidR="0077705A" w:rsidRPr="0077705A">
        <w:rPr>
          <w:rFonts w:ascii="华文楷体" w:hAnsi="华文楷体" w:hint="eastAsia"/>
          <w:sz w:val="24"/>
          <w:szCs w:val="24"/>
          <w:lang w:eastAsia="zh-CN"/>
        </w:rPr>
        <w:t>6BP和9BBP。</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EF3B44">
        <w:rPr>
          <w:rFonts w:ascii="华文楷体" w:hAnsi="华文楷体"/>
          <w:sz w:val="24"/>
          <w:szCs w:val="24"/>
          <w:lang w:eastAsia="zh-CN"/>
        </w:rPr>
        <w:t>3</w:t>
      </w:r>
      <w:r w:rsidR="0077705A">
        <w:rPr>
          <w:rFonts w:ascii="华文楷体" w:hAnsi="华文楷体" w:hint="eastAsia"/>
          <w:sz w:val="24"/>
          <w:szCs w:val="24"/>
          <w:lang w:eastAsia="zh-CN"/>
        </w:rPr>
        <w:t>0</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9F68C2">
        <w:rPr>
          <w:rFonts w:ascii="华文楷体" w:hAnsi="华文楷体" w:hint="eastAsia"/>
          <w:sz w:val="24"/>
          <w:szCs w:val="24"/>
          <w:lang w:eastAsia="zh-CN"/>
        </w:rPr>
        <w:t>上下</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EF3B44">
        <w:rPr>
          <w:rFonts w:ascii="华文楷体" w:hAnsi="华文楷体"/>
          <w:sz w:val="24"/>
          <w:szCs w:val="24"/>
          <w:lang w:eastAsia="zh-CN"/>
        </w:rPr>
        <w:t>2</w:t>
      </w:r>
      <w:r w:rsidR="0077705A">
        <w:rPr>
          <w:rFonts w:ascii="华文楷体" w:hAnsi="华文楷体" w:hint="eastAsia"/>
          <w:sz w:val="24"/>
          <w:szCs w:val="24"/>
          <w:lang w:eastAsia="zh-CN"/>
        </w:rPr>
        <w:t>6</w:t>
      </w:r>
      <w:r w:rsidR="00EF3B44">
        <w:rPr>
          <w:rFonts w:ascii="华文楷体" w:hAnsi="华文楷体" w:hint="eastAsia"/>
          <w:sz w:val="24"/>
          <w:szCs w:val="24"/>
          <w:lang w:eastAsia="zh-CN"/>
        </w:rPr>
        <w:t>-</w:t>
      </w:r>
      <w:r w:rsidR="00EF3B44">
        <w:rPr>
          <w:rFonts w:ascii="华文楷体" w:hAnsi="华文楷体"/>
          <w:sz w:val="24"/>
          <w:szCs w:val="24"/>
          <w:lang w:eastAsia="zh-CN"/>
        </w:rPr>
        <w:t>3</w:t>
      </w:r>
      <w:r w:rsidR="0077705A">
        <w:rPr>
          <w:rFonts w:ascii="华文楷体" w:hAnsi="华文楷体" w:hint="eastAsia"/>
          <w:sz w:val="24"/>
          <w:szCs w:val="24"/>
          <w:lang w:eastAsia="zh-CN"/>
        </w:rPr>
        <w:t>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77705A">
        <w:rPr>
          <w:rFonts w:ascii="华文楷体" w:hAnsi="华文楷体" w:hint="eastAsia"/>
          <w:sz w:val="24"/>
          <w:szCs w:val="24"/>
          <w:lang w:eastAsia="zh-CN"/>
        </w:rPr>
        <w:t>8</w:t>
      </w:r>
      <w:r w:rsidR="004F1AB3">
        <w:rPr>
          <w:rFonts w:ascii="华文楷体" w:hAnsi="华文楷体" w:hint="eastAsia"/>
          <w:sz w:val="24"/>
          <w:szCs w:val="24"/>
          <w:lang w:eastAsia="zh-CN"/>
        </w:rPr>
        <w:t>-2</w:t>
      </w:r>
      <w:r w:rsidR="0077705A">
        <w:rPr>
          <w:rFonts w:ascii="华文楷体" w:hAnsi="华文楷体" w:hint="eastAsia"/>
          <w:sz w:val="24"/>
          <w:szCs w:val="24"/>
          <w:lang w:eastAsia="zh-CN"/>
        </w:rPr>
        <w:t>2</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5D5C69">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77705A" w:rsidRPr="0077705A" w14:paraId="3A1068E3" w14:textId="77777777" w:rsidTr="0077705A">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0ED95D05"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43D235EC"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26B85E8"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1FD1A0E"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5DD5FD5"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18B23291"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074AA365"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56B0E71"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715DA19"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C5CAAC6"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r>
            <w:tr w:rsidR="0077705A" w:rsidRPr="0077705A" w14:paraId="7766C10F" w14:textId="77777777" w:rsidTr="0077705A">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2294A927"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3C2A0B1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3.10 </w:t>
                  </w:r>
                </w:p>
              </w:tc>
              <w:tc>
                <w:tcPr>
                  <w:tcW w:w="921" w:type="dxa"/>
                  <w:tcBorders>
                    <w:top w:val="nil"/>
                    <w:left w:val="nil"/>
                    <w:bottom w:val="single" w:sz="8" w:space="0" w:color="FFFFFF"/>
                    <w:right w:val="single" w:sz="8" w:space="0" w:color="FFFFFF"/>
                  </w:tcBorders>
                  <w:shd w:val="clear" w:color="000000" w:fill="FCD5B4"/>
                  <w:noWrap/>
                  <w:vAlign w:val="center"/>
                  <w:hideMark/>
                </w:tcPr>
                <w:p w14:paraId="33F86DF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3.32 </w:t>
                  </w:r>
                </w:p>
              </w:tc>
              <w:tc>
                <w:tcPr>
                  <w:tcW w:w="921" w:type="dxa"/>
                  <w:tcBorders>
                    <w:top w:val="nil"/>
                    <w:left w:val="nil"/>
                    <w:bottom w:val="single" w:sz="8" w:space="0" w:color="FFFFFF"/>
                    <w:right w:val="single" w:sz="8" w:space="0" w:color="FFFFFF"/>
                  </w:tcBorders>
                  <w:shd w:val="clear" w:color="000000" w:fill="FCD5B4"/>
                  <w:noWrap/>
                  <w:vAlign w:val="center"/>
                  <w:hideMark/>
                </w:tcPr>
                <w:p w14:paraId="5C9F52D4"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3.71 </w:t>
                  </w:r>
                </w:p>
              </w:tc>
              <w:tc>
                <w:tcPr>
                  <w:tcW w:w="921" w:type="dxa"/>
                  <w:tcBorders>
                    <w:top w:val="nil"/>
                    <w:left w:val="nil"/>
                    <w:bottom w:val="single" w:sz="8" w:space="0" w:color="FFFFFF"/>
                    <w:right w:val="single" w:sz="8" w:space="0" w:color="FFFFFF"/>
                  </w:tcBorders>
                  <w:shd w:val="clear" w:color="000000" w:fill="FCD5B4"/>
                  <w:noWrap/>
                  <w:vAlign w:val="center"/>
                  <w:hideMark/>
                </w:tcPr>
                <w:p w14:paraId="67396E6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5.88 </w:t>
                  </w:r>
                </w:p>
              </w:tc>
              <w:tc>
                <w:tcPr>
                  <w:tcW w:w="1157" w:type="dxa"/>
                  <w:tcBorders>
                    <w:top w:val="nil"/>
                    <w:left w:val="nil"/>
                    <w:bottom w:val="single" w:sz="8" w:space="0" w:color="FFFFFF"/>
                    <w:right w:val="single" w:sz="8" w:space="0" w:color="FFFFFF"/>
                  </w:tcBorders>
                  <w:shd w:val="clear" w:color="000000" w:fill="FCD5B4"/>
                  <w:noWrap/>
                  <w:vAlign w:val="center"/>
                  <w:hideMark/>
                </w:tcPr>
                <w:p w14:paraId="214D21AA"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27112BB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0.46 </w:t>
                  </w:r>
                </w:p>
              </w:tc>
              <w:tc>
                <w:tcPr>
                  <w:tcW w:w="921" w:type="dxa"/>
                  <w:tcBorders>
                    <w:top w:val="nil"/>
                    <w:left w:val="nil"/>
                    <w:bottom w:val="single" w:sz="8" w:space="0" w:color="FFFFFF"/>
                    <w:right w:val="single" w:sz="8" w:space="0" w:color="FFFFFF"/>
                  </w:tcBorders>
                  <w:shd w:val="clear" w:color="000000" w:fill="FCD5B4"/>
                  <w:noWrap/>
                  <w:vAlign w:val="center"/>
                  <w:hideMark/>
                </w:tcPr>
                <w:p w14:paraId="58C78EE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0.68 </w:t>
                  </w:r>
                </w:p>
              </w:tc>
              <w:tc>
                <w:tcPr>
                  <w:tcW w:w="921" w:type="dxa"/>
                  <w:tcBorders>
                    <w:top w:val="nil"/>
                    <w:left w:val="nil"/>
                    <w:bottom w:val="single" w:sz="8" w:space="0" w:color="FFFFFF"/>
                    <w:right w:val="single" w:sz="8" w:space="0" w:color="FFFFFF"/>
                  </w:tcBorders>
                  <w:shd w:val="clear" w:color="000000" w:fill="FCD5B4"/>
                  <w:noWrap/>
                  <w:vAlign w:val="center"/>
                  <w:hideMark/>
                </w:tcPr>
                <w:p w14:paraId="7AC147CB"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1.07 </w:t>
                  </w:r>
                </w:p>
              </w:tc>
              <w:tc>
                <w:tcPr>
                  <w:tcW w:w="921" w:type="dxa"/>
                  <w:tcBorders>
                    <w:top w:val="nil"/>
                    <w:left w:val="nil"/>
                    <w:bottom w:val="single" w:sz="8" w:space="0" w:color="FFFFFF"/>
                    <w:right w:val="single" w:sz="8" w:space="0" w:color="FFFFFF"/>
                  </w:tcBorders>
                  <w:shd w:val="clear" w:color="000000" w:fill="FCD5B4"/>
                  <w:noWrap/>
                  <w:vAlign w:val="center"/>
                  <w:hideMark/>
                </w:tcPr>
                <w:p w14:paraId="63EC32D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3.24 </w:t>
                  </w:r>
                </w:p>
              </w:tc>
            </w:tr>
            <w:tr w:rsidR="0077705A" w:rsidRPr="0077705A" w14:paraId="68BFBC1C"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C0958AE"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D9BEB5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3.64 </w:t>
                  </w:r>
                </w:p>
              </w:tc>
              <w:tc>
                <w:tcPr>
                  <w:tcW w:w="921" w:type="dxa"/>
                  <w:tcBorders>
                    <w:top w:val="nil"/>
                    <w:left w:val="nil"/>
                    <w:bottom w:val="single" w:sz="8" w:space="0" w:color="FFFFFF"/>
                    <w:right w:val="single" w:sz="8" w:space="0" w:color="FFFFFF"/>
                  </w:tcBorders>
                  <w:shd w:val="clear" w:color="000000" w:fill="FDE9D9"/>
                  <w:noWrap/>
                  <w:vAlign w:val="center"/>
                  <w:hideMark/>
                </w:tcPr>
                <w:p w14:paraId="71A06A8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3.91 </w:t>
                  </w:r>
                </w:p>
              </w:tc>
              <w:tc>
                <w:tcPr>
                  <w:tcW w:w="921" w:type="dxa"/>
                  <w:tcBorders>
                    <w:top w:val="nil"/>
                    <w:left w:val="nil"/>
                    <w:bottom w:val="single" w:sz="8" w:space="0" w:color="FFFFFF"/>
                    <w:right w:val="single" w:sz="8" w:space="0" w:color="FFFFFF"/>
                  </w:tcBorders>
                  <w:shd w:val="clear" w:color="000000" w:fill="FDE9D9"/>
                  <w:noWrap/>
                  <w:vAlign w:val="center"/>
                  <w:hideMark/>
                </w:tcPr>
                <w:p w14:paraId="3223BBE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4.39 </w:t>
                  </w:r>
                </w:p>
              </w:tc>
              <w:tc>
                <w:tcPr>
                  <w:tcW w:w="921" w:type="dxa"/>
                  <w:tcBorders>
                    <w:top w:val="nil"/>
                    <w:left w:val="nil"/>
                    <w:bottom w:val="single" w:sz="8" w:space="0" w:color="FFFFFF"/>
                    <w:right w:val="single" w:sz="8" w:space="0" w:color="FFFFFF"/>
                  </w:tcBorders>
                  <w:shd w:val="clear" w:color="000000" w:fill="FDE9D9"/>
                  <w:noWrap/>
                  <w:vAlign w:val="center"/>
                  <w:hideMark/>
                </w:tcPr>
                <w:p w14:paraId="1FEC2DF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6.56 </w:t>
                  </w:r>
                </w:p>
              </w:tc>
              <w:tc>
                <w:tcPr>
                  <w:tcW w:w="1157" w:type="dxa"/>
                  <w:tcBorders>
                    <w:top w:val="nil"/>
                    <w:left w:val="nil"/>
                    <w:bottom w:val="single" w:sz="8" w:space="0" w:color="FFFFFF"/>
                    <w:right w:val="single" w:sz="8" w:space="0" w:color="FFFFFF"/>
                  </w:tcBorders>
                  <w:shd w:val="clear" w:color="000000" w:fill="FDE9D9"/>
                  <w:noWrap/>
                  <w:vAlign w:val="center"/>
                  <w:hideMark/>
                </w:tcPr>
                <w:p w14:paraId="42AC142D"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5E8EEC1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0.72 </w:t>
                  </w:r>
                </w:p>
              </w:tc>
              <w:tc>
                <w:tcPr>
                  <w:tcW w:w="921" w:type="dxa"/>
                  <w:tcBorders>
                    <w:top w:val="nil"/>
                    <w:left w:val="nil"/>
                    <w:bottom w:val="single" w:sz="8" w:space="0" w:color="FFFFFF"/>
                    <w:right w:val="single" w:sz="8" w:space="0" w:color="FFFFFF"/>
                  </w:tcBorders>
                  <w:shd w:val="clear" w:color="000000" w:fill="FDE9D9"/>
                  <w:noWrap/>
                  <w:vAlign w:val="center"/>
                  <w:hideMark/>
                </w:tcPr>
                <w:p w14:paraId="2C0353B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0.99 </w:t>
                  </w:r>
                </w:p>
              </w:tc>
              <w:tc>
                <w:tcPr>
                  <w:tcW w:w="921" w:type="dxa"/>
                  <w:tcBorders>
                    <w:top w:val="nil"/>
                    <w:left w:val="nil"/>
                    <w:bottom w:val="single" w:sz="8" w:space="0" w:color="FFFFFF"/>
                    <w:right w:val="single" w:sz="8" w:space="0" w:color="FFFFFF"/>
                  </w:tcBorders>
                  <w:shd w:val="clear" w:color="000000" w:fill="FDE9D9"/>
                  <w:noWrap/>
                  <w:vAlign w:val="center"/>
                  <w:hideMark/>
                </w:tcPr>
                <w:p w14:paraId="16AE8F6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1.47 </w:t>
                  </w:r>
                </w:p>
              </w:tc>
              <w:tc>
                <w:tcPr>
                  <w:tcW w:w="921" w:type="dxa"/>
                  <w:tcBorders>
                    <w:top w:val="nil"/>
                    <w:left w:val="nil"/>
                    <w:bottom w:val="single" w:sz="8" w:space="0" w:color="FFFFFF"/>
                    <w:right w:val="single" w:sz="8" w:space="0" w:color="FFFFFF"/>
                  </w:tcBorders>
                  <w:shd w:val="clear" w:color="000000" w:fill="FDE9D9"/>
                  <w:noWrap/>
                  <w:vAlign w:val="center"/>
                  <w:hideMark/>
                </w:tcPr>
                <w:p w14:paraId="41BF738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3.64 </w:t>
                  </w:r>
                </w:p>
              </w:tc>
            </w:tr>
            <w:tr w:rsidR="0077705A" w:rsidRPr="0077705A" w14:paraId="02079934" w14:textId="77777777" w:rsidTr="0077705A">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EA0759C"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CCCA9A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3.81 </w:t>
                  </w:r>
                </w:p>
              </w:tc>
              <w:tc>
                <w:tcPr>
                  <w:tcW w:w="921" w:type="dxa"/>
                  <w:tcBorders>
                    <w:top w:val="nil"/>
                    <w:left w:val="nil"/>
                    <w:bottom w:val="single" w:sz="8" w:space="0" w:color="FFFFFF"/>
                    <w:right w:val="single" w:sz="8" w:space="0" w:color="FFFFFF"/>
                  </w:tcBorders>
                  <w:shd w:val="clear" w:color="000000" w:fill="FCD5B4"/>
                  <w:noWrap/>
                  <w:vAlign w:val="center"/>
                  <w:hideMark/>
                </w:tcPr>
                <w:p w14:paraId="2296410B"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4.14 </w:t>
                  </w:r>
                </w:p>
              </w:tc>
              <w:tc>
                <w:tcPr>
                  <w:tcW w:w="921" w:type="dxa"/>
                  <w:tcBorders>
                    <w:top w:val="nil"/>
                    <w:left w:val="nil"/>
                    <w:bottom w:val="single" w:sz="8" w:space="0" w:color="FFFFFF"/>
                    <w:right w:val="single" w:sz="8" w:space="0" w:color="FFFFFF"/>
                  </w:tcBorders>
                  <w:shd w:val="clear" w:color="000000" w:fill="FCD5B4"/>
                  <w:noWrap/>
                  <w:vAlign w:val="center"/>
                  <w:hideMark/>
                </w:tcPr>
                <w:p w14:paraId="794A0BC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4.64 </w:t>
                  </w:r>
                </w:p>
              </w:tc>
              <w:tc>
                <w:tcPr>
                  <w:tcW w:w="921" w:type="dxa"/>
                  <w:tcBorders>
                    <w:top w:val="nil"/>
                    <w:left w:val="nil"/>
                    <w:bottom w:val="single" w:sz="8" w:space="0" w:color="FFFFFF"/>
                    <w:right w:val="single" w:sz="8" w:space="0" w:color="FFFFFF"/>
                  </w:tcBorders>
                  <w:shd w:val="clear" w:color="000000" w:fill="FCD5B4"/>
                  <w:noWrap/>
                  <w:vAlign w:val="center"/>
                  <w:hideMark/>
                </w:tcPr>
                <w:p w14:paraId="28B1ACE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6.81 </w:t>
                  </w:r>
                </w:p>
              </w:tc>
              <w:tc>
                <w:tcPr>
                  <w:tcW w:w="1157" w:type="dxa"/>
                  <w:tcBorders>
                    <w:top w:val="nil"/>
                    <w:left w:val="nil"/>
                    <w:bottom w:val="single" w:sz="8" w:space="0" w:color="FFFFFF"/>
                    <w:right w:val="single" w:sz="8" w:space="0" w:color="FFFFFF"/>
                  </w:tcBorders>
                  <w:shd w:val="clear" w:color="000000" w:fill="FCD5B4"/>
                  <w:noWrap/>
                  <w:vAlign w:val="center"/>
                  <w:hideMark/>
                </w:tcPr>
                <w:p w14:paraId="4342DFFA"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77974D4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0.73 </w:t>
                  </w:r>
                </w:p>
              </w:tc>
              <w:tc>
                <w:tcPr>
                  <w:tcW w:w="921" w:type="dxa"/>
                  <w:tcBorders>
                    <w:top w:val="nil"/>
                    <w:left w:val="nil"/>
                    <w:bottom w:val="single" w:sz="8" w:space="0" w:color="FFFFFF"/>
                    <w:right w:val="single" w:sz="8" w:space="0" w:color="FFFFFF"/>
                  </w:tcBorders>
                  <w:shd w:val="clear" w:color="000000" w:fill="FCD5B4"/>
                  <w:noWrap/>
                  <w:vAlign w:val="center"/>
                  <w:hideMark/>
                </w:tcPr>
                <w:p w14:paraId="027CF71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1.06 </w:t>
                  </w:r>
                </w:p>
              </w:tc>
              <w:tc>
                <w:tcPr>
                  <w:tcW w:w="921" w:type="dxa"/>
                  <w:tcBorders>
                    <w:top w:val="nil"/>
                    <w:left w:val="nil"/>
                    <w:bottom w:val="single" w:sz="8" w:space="0" w:color="FFFFFF"/>
                    <w:right w:val="single" w:sz="8" w:space="0" w:color="FFFFFF"/>
                  </w:tcBorders>
                  <w:shd w:val="clear" w:color="000000" w:fill="FCD5B4"/>
                  <w:noWrap/>
                  <w:vAlign w:val="center"/>
                  <w:hideMark/>
                </w:tcPr>
                <w:p w14:paraId="0F1ED8F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1.56 </w:t>
                  </w:r>
                </w:p>
              </w:tc>
              <w:tc>
                <w:tcPr>
                  <w:tcW w:w="921" w:type="dxa"/>
                  <w:tcBorders>
                    <w:top w:val="nil"/>
                    <w:left w:val="nil"/>
                    <w:bottom w:val="single" w:sz="8" w:space="0" w:color="FFFFFF"/>
                    <w:right w:val="single" w:sz="8" w:space="0" w:color="FFFFFF"/>
                  </w:tcBorders>
                  <w:shd w:val="clear" w:color="000000" w:fill="FCD5B4"/>
                  <w:noWrap/>
                  <w:vAlign w:val="center"/>
                  <w:hideMark/>
                </w:tcPr>
                <w:p w14:paraId="2D75248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3.73 </w:t>
                  </w:r>
                </w:p>
              </w:tc>
            </w:tr>
            <w:tr w:rsidR="0077705A" w:rsidRPr="0077705A" w14:paraId="6E48C254"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88D15E9"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578E8A6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3.60 </w:t>
                  </w:r>
                </w:p>
              </w:tc>
              <w:tc>
                <w:tcPr>
                  <w:tcW w:w="921" w:type="dxa"/>
                  <w:tcBorders>
                    <w:top w:val="nil"/>
                    <w:left w:val="nil"/>
                    <w:bottom w:val="single" w:sz="8" w:space="0" w:color="FFFFFF"/>
                    <w:right w:val="single" w:sz="8" w:space="0" w:color="FFFFFF"/>
                  </w:tcBorders>
                  <w:shd w:val="clear" w:color="000000" w:fill="FDE9D9"/>
                  <w:noWrap/>
                  <w:vAlign w:val="center"/>
                  <w:hideMark/>
                </w:tcPr>
                <w:p w14:paraId="12614F0B"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3.84 </w:t>
                  </w:r>
                </w:p>
              </w:tc>
              <w:tc>
                <w:tcPr>
                  <w:tcW w:w="921" w:type="dxa"/>
                  <w:tcBorders>
                    <w:top w:val="nil"/>
                    <w:left w:val="nil"/>
                    <w:bottom w:val="single" w:sz="8" w:space="0" w:color="FFFFFF"/>
                    <w:right w:val="single" w:sz="8" w:space="0" w:color="FFFFFF"/>
                  </w:tcBorders>
                  <w:shd w:val="clear" w:color="000000" w:fill="FDE9D9"/>
                  <w:noWrap/>
                  <w:vAlign w:val="center"/>
                  <w:hideMark/>
                </w:tcPr>
                <w:p w14:paraId="3A220B8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4.27 </w:t>
                  </w:r>
                </w:p>
              </w:tc>
              <w:tc>
                <w:tcPr>
                  <w:tcW w:w="921" w:type="dxa"/>
                  <w:tcBorders>
                    <w:top w:val="nil"/>
                    <w:left w:val="nil"/>
                    <w:bottom w:val="single" w:sz="8" w:space="0" w:color="FFFFFF"/>
                    <w:right w:val="single" w:sz="8" w:space="0" w:color="FFFFFF"/>
                  </w:tcBorders>
                  <w:shd w:val="clear" w:color="000000" w:fill="FDE9D9"/>
                  <w:noWrap/>
                  <w:vAlign w:val="center"/>
                  <w:hideMark/>
                </w:tcPr>
                <w:p w14:paraId="471FF14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6.49 </w:t>
                  </w:r>
                </w:p>
              </w:tc>
              <w:tc>
                <w:tcPr>
                  <w:tcW w:w="1157" w:type="dxa"/>
                  <w:tcBorders>
                    <w:top w:val="nil"/>
                    <w:left w:val="nil"/>
                    <w:bottom w:val="single" w:sz="8" w:space="0" w:color="FFFFFF"/>
                    <w:right w:val="single" w:sz="8" w:space="0" w:color="FFFFFF"/>
                  </w:tcBorders>
                  <w:shd w:val="clear" w:color="000000" w:fill="FDE9D9"/>
                  <w:noWrap/>
                  <w:vAlign w:val="center"/>
                  <w:hideMark/>
                </w:tcPr>
                <w:p w14:paraId="2F794C4D"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5B70EF5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0.68 </w:t>
                  </w:r>
                </w:p>
              </w:tc>
              <w:tc>
                <w:tcPr>
                  <w:tcW w:w="921" w:type="dxa"/>
                  <w:tcBorders>
                    <w:top w:val="nil"/>
                    <w:left w:val="nil"/>
                    <w:bottom w:val="single" w:sz="8" w:space="0" w:color="FFFFFF"/>
                    <w:right w:val="single" w:sz="8" w:space="0" w:color="FFFFFF"/>
                  </w:tcBorders>
                  <w:shd w:val="clear" w:color="000000" w:fill="FDE9D9"/>
                  <w:noWrap/>
                  <w:vAlign w:val="center"/>
                  <w:hideMark/>
                </w:tcPr>
                <w:p w14:paraId="169A3CB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0.92 </w:t>
                  </w:r>
                </w:p>
              </w:tc>
              <w:tc>
                <w:tcPr>
                  <w:tcW w:w="921" w:type="dxa"/>
                  <w:tcBorders>
                    <w:top w:val="nil"/>
                    <w:left w:val="nil"/>
                    <w:bottom w:val="single" w:sz="8" w:space="0" w:color="FFFFFF"/>
                    <w:right w:val="single" w:sz="8" w:space="0" w:color="FFFFFF"/>
                  </w:tcBorders>
                  <w:shd w:val="clear" w:color="000000" w:fill="FDE9D9"/>
                  <w:noWrap/>
                  <w:vAlign w:val="center"/>
                  <w:hideMark/>
                </w:tcPr>
                <w:p w14:paraId="3616F73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1.35 </w:t>
                  </w:r>
                </w:p>
              </w:tc>
              <w:tc>
                <w:tcPr>
                  <w:tcW w:w="921" w:type="dxa"/>
                  <w:tcBorders>
                    <w:top w:val="nil"/>
                    <w:left w:val="nil"/>
                    <w:bottom w:val="single" w:sz="8" w:space="0" w:color="FFFFFF"/>
                    <w:right w:val="single" w:sz="8" w:space="0" w:color="FFFFFF"/>
                  </w:tcBorders>
                  <w:shd w:val="clear" w:color="000000" w:fill="FDE9D9"/>
                  <w:noWrap/>
                  <w:vAlign w:val="center"/>
                  <w:hideMark/>
                </w:tcPr>
                <w:p w14:paraId="2A17CE0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3.57 </w:t>
                  </w:r>
                </w:p>
              </w:tc>
            </w:tr>
            <w:tr w:rsidR="0077705A" w:rsidRPr="0077705A" w14:paraId="5738AFBE" w14:textId="77777777" w:rsidTr="0077705A">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8540926"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4AEFE1B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3.76 </w:t>
                  </w:r>
                </w:p>
              </w:tc>
              <w:tc>
                <w:tcPr>
                  <w:tcW w:w="921" w:type="dxa"/>
                  <w:tcBorders>
                    <w:top w:val="nil"/>
                    <w:left w:val="nil"/>
                    <w:bottom w:val="single" w:sz="8" w:space="0" w:color="FFFFFF"/>
                    <w:right w:val="single" w:sz="8" w:space="0" w:color="FFFFFF"/>
                  </w:tcBorders>
                  <w:shd w:val="clear" w:color="000000" w:fill="FCD5B4"/>
                  <w:noWrap/>
                  <w:vAlign w:val="center"/>
                  <w:hideMark/>
                </w:tcPr>
                <w:p w14:paraId="6FB37E3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4.03 </w:t>
                  </w:r>
                </w:p>
              </w:tc>
              <w:tc>
                <w:tcPr>
                  <w:tcW w:w="921" w:type="dxa"/>
                  <w:tcBorders>
                    <w:top w:val="nil"/>
                    <w:left w:val="nil"/>
                    <w:bottom w:val="single" w:sz="8" w:space="0" w:color="FFFFFF"/>
                    <w:right w:val="single" w:sz="8" w:space="0" w:color="FFFFFF"/>
                  </w:tcBorders>
                  <w:shd w:val="clear" w:color="000000" w:fill="FCD5B4"/>
                  <w:noWrap/>
                  <w:vAlign w:val="center"/>
                  <w:hideMark/>
                </w:tcPr>
                <w:p w14:paraId="53FD5E5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4.46 </w:t>
                  </w:r>
                </w:p>
              </w:tc>
              <w:tc>
                <w:tcPr>
                  <w:tcW w:w="921" w:type="dxa"/>
                  <w:tcBorders>
                    <w:top w:val="nil"/>
                    <w:left w:val="nil"/>
                    <w:bottom w:val="single" w:sz="8" w:space="0" w:color="FFFFFF"/>
                    <w:right w:val="single" w:sz="8" w:space="0" w:color="FFFFFF"/>
                  </w:tcBorders>
                  <w:shd w:val="clear" w:color="000000" w:fill="FCD5B4"/>
                  <w:noWrap/>
                  <w:vAlign w:val="center"/>
                  <w:hideMark/>
                </w:tcPr>
                <w:p w14:paraId="3A1A0F1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6.68 </w:t>
                  </w:r>
                </w:p>
              </w:tc>
              <w:tc>
                <w:tcPr>
                  <w:tcW w:w="1157" w:type="dxa"/>
                  <w:tcBorders>
                    <w:top w:val="nil"/>
                    <w:left w:val="nil"/>
                    <w:bottom w:val="single" w:sz="8" w:space="0" w:color="FFFFFF"/>
                    <w:right w:val="single" w:sz="8" w:space="0" w:color="FFFFFF"/>
                  </w:tcBorders>
                  <w:shd w:val="clear" w:color="000000" w:fill="FCD5B4"/>
                  <w:noWrap/>
                  <w:vAlign w:val="center"/>
                  <w:hideMark/>
                </w:tcPr>
                <w:p w14:paraId="14C1E87C"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6E008B9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0.67 </w:t>
                  </w:r>
                </w:p>
              </w:tc>
              <w:tc>
                <w:tcPr>
                  <w:tcW w:w="921" w:type="dxa"/>
                  <w:tcBorders>
                    <w:top w:val="nil"/>
                    <w:left w:val="nil"/>
                    <w:bottom w:val="single" w:sz="8" w:space="0" w:color="FFFFFF"/>
                    <w:right w:val="single" w:sz="8" w:space="0" w:color="FFFFFF"/>
                  </w:tcBorders>
                  <w:shd w:val="clear" w:color="000000" w:fill="FCD5B4"/>
                  <w:noWrap/>
                  <w:vAlign w:val="center"/>
                  <w:hideMark/>
                </w:tcPr>
                <w:p w14:paraId="25F77EE4"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0.94 </w:t>
                  </w:r>
                </w:p>
              </w:tc>
              <w:tc>
                <w:tcPr>
                  <w:tcW w:w="921" w:type="dxa"/>
                  <w:tcBorders>
                    <w:top w:val="nil"/>
                    <w:left w:val="nil"/>
                    <w:bottom w:val="single" w:sz="8" w:space="0" w:color="FFFFFF"/>
                    <w:right w:val="single" w:sz="8" w:space="0" w:color="FFFFFF"/>
                  </w:tcBorders>
                  <w:shd w:val="clear" w:color="000000" w:fill="FCD5B4"/>
                  <w:noWrap/>
                  <w:vAlign w:val="center"/>
                  <w:hideMark/>
                </w:tcPr>
                <w:p w14:paraId="22CBA74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1.37 </w:t>
                  </w:r>
                </w:p>
              </w:tc>
              <w:tc>
                <w:tcPr>
                  <w:tcW w:w="921" w:type="dxa"/>
                  <w:tcBorders>
                    <w:top w:val="nil"/>
                    <w:left w:val="nil"/>
                    <w:bottom w:val="single" w:sz="8" w:space="0" w:color="FFFFFF"/>
                    <w:right w:val="single" w:sz="8" w:space="0" w:color="FFFFFF"/>
                  </w:tcBorders>
                  <w:shd w:val="clear" w:color="000000" w:fill="FCD5B4"/>
                  <w:noWrap/>
                  <w:vAlign w:val="center"/>
                  <w:hideMark/>
                </w:tcPr>
                <w:p w14:paraId="79DE10D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3.59 </w:t>
                  </w:r>
                </w:p>
              </w:tc>
            </w:tr>
            <w:tr w:rsidR="0077705A" w:rsidRPr="0077705A" w14:paraId="7CF606C3"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4BAE94F"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1955B0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3.92 </w:t>
                  </w:r>
                </w:p>
              </w:tc>
              <w:tc>
                <w:tcPr>
                  <w:tcW w:w="921" w:type="dxa"/>
                  <w:tcBorders>
                    <w:top w:val="nil"/>
                    <w:left w:val="nil"/>
                    <w:bottom w:val="single" w:sz="8" w:space="0" w:color="FFFFFF"/>
                    <w:right w:val="single" w:sz="8" w:space="0" w:color="FFFFFF"/>
                  </w:tcBorders>
                  <w:shd w:val="clear" w:color="000000" w:fill="FDE9D9"/>
                  <w:noWrap/>
                  <w:vAlign w:val="center"/>
                  <w:hideMark/>
                </w:tcPr>
                <w:p w14:paraId="59D1375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4.19 </w:t>
                  </w:r>
                </w:p>
              </w:tc>
              <w:tc>
                <w:tcPr>
                  <w:tcW w:w="921" w:type="dxa"/>
                  <w:tcBorders>
                    <w:top w:val="nil"/>
                    <w:left w:val="nil"/>
                    <w:bottom w:val="single" w:sz="8" w:space="0" w:color="FFFFFF"/>
                    <w:right w:val="single" w:sz="8" w:space="0" w:color="FFFFFF"/>
                  </w:tcBorders>
                  <w:shd w:val="clear" w:color="000000" w:fill="FDE9D9"/>
                  <w:noWrap/>
                  <w:vAlign w:val="center"/>
                  <w:hideMark/>
                </w:tcPr>
                <w:p w14:paraId="4A45CA3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4.63 </w:t>
                  </w:r>
                </w:p>
              </w:tc>
              <w:tc>
                <w:tcPr>
                  <w:tcW w:w="921" w:type="dxa"/>
                  <w:tcBorders>
                    <w:top w:val="nil"/>
                    <w:left w:val="nil"/>
                    <w:bottom w:val="single" w:sz="8" w:space="0" w:color="FFFFFF"/>
                    <w:right w:val="single" w:sz="8" w:space="0" w:color="FFFFFF"/>
                  </w:tcBorders>
                  <w:shd w:val="clear" w:color="000000" w:fill="FDE9D9"/>
                  <w:noWrap/>
                  <w:vAlign w:val="center"/>
                  <w:hideMark/>
                </w:tcPr>
                <w:p w14:paraId="726CA18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6.85 </w:t>
                  </w:r>
                </w:p>
              </w:tc>
              <w:tc>
                <w:tcPr>
                  <w:tcW w:w="1157" w:type="dxa"/>
                  <w:tcBorders>
                    <w:top w:val="nil"/>
                    <w:left w:val="nil"/>
                    <w:bottom w:val="single" w:sz="8" w:space="0" w:color="FFFFFF"/>
                    <w:right w:val="single" w:sz="8" w:space="0" w:color="FFFFFF"/>
                  </w:tcBorders>
                  <w:shd w:val="clear" w:color="000000" w:fill="FDE9D9"/>
                  <w:noWrap/>
                  <w:vAlign w:val="center"/>
                  <w:hideMark/>
                </w:tcPr>
                <w:p w14:paraId="4C7EE083"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3A77DB4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0.70 </w:t>
                  </w:r>
                </w:p>
              </w:tc>
              <w:tc>
                <w:tcPr>
                  <w:tcW w:w="921" w:type="dxa"/>
                  <w:tcBorders>
                    <w:top w:val="nil"/>
                    <w:left w:val="nil"/>
                    <w:bottom w:val="single" w:sz="8" w:space="0" w:color="FFFFFF"/>
                    <w:right w:val="single" w:sz="8" w:space="0" w:color="FFFFFF"/>
                  </w:tcBorders>
                  <w:shd w:val="clear" w:color="000000" w:fill="FDE9D9"/>
                  <w:noWrap/>
                  <w:vAlign w:val="center"/>
                  <w:hideMark/>
                </w:tcPr>
                <w:p w14:paraId="23241CE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0.97 </w:t>
                  </w:r>
                </w:p>
              </w:tc>
              <w:tc>
                <w:tcPr>
                  <w:tcW w:w="921" w:type="dxa"/>
                  <w:tcBorders>
                    <w:top w:val="nil"/>
                    <w:left w:val="nil"/>
                    <w:bottom w:val="single" w:sz="8" w:space="0" w:color="FFFFFF"/>
                    <w:right w:val="single" w:sz="8" w:space="0" w:color="FFFFFF"/>
                  </w:tcBorders>
                  <w:shd w:val="clear" w:color="000000" w:fill="FDE9D9"/>
                  <w:noWrap/>
                  <w:vAlign w:val="center"/>
                  <w:hideMark/>
                </w:tcPr>
                <w:p w14:paraId="3B75387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1.41 </w:t>
                  </w:r>
                </w:p>
              </w:tc>
              <w:tc>
                <w:tcPr>
                  <w:tcW w:w="921" w:type="dxa"/>
                  <w:tcBorders>
                    <w:top w:val="nil"/>
                    <w:left w:val="nil"/>
                    <w:bottom w:val="single" w:sz="8" w:space="0" w:color="FFFFFF"/>
                    <w:right w:val="single" w:sz="8" w:space="0" w:color="FFFFFF"/>
                  </w:tcBorders>
                  <w:shd w:val="clear" w:color="000000" w:fill="FDE9D9"/>
                  <w:noWrap/>
                  <w:vAlign w:val="center"/>
                  <w:hideMark/>
                </w:tcPr>
                <w:p w14:paraId="1B03D45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3.63 </w:t>
                  </w:r>
                </w:p>
              </w:tc>
            </w:tr>
            <w:tr w:rsidR="0077705A" w:rsidRPr="0077705A" w14:paraId="01E63D4C" w14:textId="77777777" w:rsidTr="0077705A">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56E5C08"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75CD55A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3.66 </w:t>
                  </w:r>
                </w:p>
              </w:tc>
              <w:tc>
                <w:tcPr>
                  <w:tcW w:w="921" w:type="dxa"/>
                  <w:tcBorders>
                    <w:top w:val="nil"/>
                    <w:left w:val="nil"/>
                    <w:bottom w:val="single" w:sz="8" w:space="0" w:color="FFFFFF"/>
                    <w:right w:val="single" w:sz="8" w:space="0" w:color="FFFFFF"/>
                  </w:tcBorders>
                  <w:shd w:val="clear" w:color="000000" w:fill="FCD5B4"/>
                  <w:noWrap/>
                  <w:vAlign w:val="center"/>
                  <w:hideMark/>
                </w:tcPr>
                <w:p w14:paraId="615CC59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3.83 </w:t>
                  </w:r>
                </w:p>
              </w:tc>
              <w:tc>
                <w:tcPr>
                  <w:tcW w:w="921" w:type="dxa"/>
                  <w:tcBorders>
                    <w:top w:val="nil"/>
                    <w:left w:val="nil"/>
                    <w:bottom w:val="single" w:sz="8" w:space="0" w:color="FFFFFF"/>
                    <w:right w:val="single" w:sz="8" w:space="0" w:color="FFFFFF"/>
                  </w:tcBorders>
                  <w:shd w:val="clear" w:color="000000" w:fill="FCD5B4"/>
                  <w:noWrap/>
                  <w:vAlign w:val="center"/>
                  <w:hideMark/>
                </w:tcPr>
                <w:p w14:paraId="3F14C92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4.08 </w:t>
                  </w:r>
                </w:p>
              </w:tc>
              <w:tc>
                <w:tcPr>
                  <w:tcW w:w="921" w:type="dxa"/>
                  <w:tcBorders>
                    <w:top w:val="nil"/>
                    <w:left w:val="nil"/>
                    <w:bottom w:val="single" w:sz="8" w:space="0" w:color="FFFFFF"/>
                    <w:right w:val="single" w:sz="8" w:space="0" w:color="FFFFFF"/>
                  </w:tcBorders>
                  <w:shd w:val="clear" w:color="000000" w:fill="FCD5B4"/>
                  <w:noWrap/>
                  <w:vAlign w:val="center"/>
                  <w:hideMark/>
                </w:tcPr>
                <w:p w14:paraId="1B75F02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6.46 </w:t>
                  </w:r>
                </w:p>
              </w:tc>
              <w:tc>
                <w:tcPr>
                  <w:tcW w:w="1157" w:type="dxa"/>
                  <w:tcBorders>
                    <w:top w:val="nil"/>
                    <w:left w:val="nil"/>
                    <w:bottom w:val="single" w:sz="8" w:space="0" w:color="FFFFFF"/>
                    <w:right w:val="single" w:sz="8" w:space="0" w:color="FFFFFF"/>
                  </w:tcBorders>
                  <w:shd w:val="clear" w:color="000000" w:fill="FCD5B4"/>
                  <w:noWrap/>
                  <w:vAlign w:val="center"/>
                  <w:hideMark/>
                </w:tcPr>
                <w:p w14:paraId="168BD6BA"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0DB9520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0.74 </w:t>
                  </w:r>
                </w:p>
              </w:tc>
              <w:tc>
                <w:tcPr>
                  <w:tcW w:w="921" w:type="dxa"/>
                  <w:tcBorders>
                    <w:top w:val="nil"/>
                    <w:left w:val="nil"/>
                    <w:bottom w:val="single" w:sz="8" w:space="0" w:color="FFFFFF"/>
                    <w:right w:val="single" w:sz="8" w:space="0" w:color="FFFFFF"/>
                  </w:tcBorders>
                  <w:shd w:val="clear" w:color="000000" w:fill="FCD5B4"/>
                  <w:noWrap/>
                  <w:vAlign w:val="center"/>
                  <w:hideMark/>
                </w:tcPr>
                <w:p w14:paraId="198C695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0.91 </w:t>
                  </w:r>
                </w:p>
              </w:tc>
              <w:tc>
                <w:tcPr>
                  <w:tcW w:w="921" w:type="dxa"/>
                  <w:tcBorders>
                    <w:top w:val="nil"/>
                    <w:left w:val="nil"/>
                    <w:bottom w:val="single" w:sz="8" w:space="0" w:color="FFFFFF"/>
                    <w:right w:val="single" w:sz="8" w:space="0" w:color="FFFFFF"/>
                  </w:tcBorders>
                  <w:shd w:val="clear" w:color="000000" w:fill="FCD5B4"/>
                  <w:noWrap/>
                  <w:vAlign w:val="center"/>
                  <w:hideMark/>
                </w:tcPr>
                <w:p w14:paraId="3AB26BE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1.16 </w:t>
                  </w:r>
                </w:p>
              </w:tc>
              <w:tc>
                <w:tcPr>
                  <w:tcW w:w="921" w:type="dxa"/>
                  <w:tcBorders>
                    <w:top w:val="nil"/>
                    <w:left w:val="nil"/>
                    <w:bottom w:val="single" w:sz="8" w:space="0" w:color="FFFFFF"/>
                    <w:right w:val="single" w:sz="8" w:space="0" w:color="FFFFFF"/>
                  </w:tcBorders>
                  <w:shd w:val="clear" w:color="000000" w:fill="FCD5B4"/>
                  <w:noWrap/>
                  <w:vAlign w:val="center"/>
                  <w:hideMark/>
                </w:tcPr>
                <w:p w14:paraId="69E1437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3.54 </w:t>
                  </w:r>
                </w:p>
              </w:tc>
            </w:tr>
            <w:tr w:rsidR="0077705A" w:rsidRPr="0077705A" w14:paraId="7CDDDAED"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8CA32E5"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000F746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3.89 </w:t>
                  </w:r>
                </w:p>
              </w:tc>
              <w:tc>
                <w:tcPr>
                  <w:tcW w:w="921" w:type="dxa"/>
                  <w:tcBorders>
                    <w:top w:val="nil"/>
                    <w:left w:val="nil"/>
                    <w:bottom w:val="single" w:sz="8" w:space="0" w:color="FFFFFF"/>
                    <w:right w:val="single" w:sz="8" w:space="0" w:color="FFFFFF"/>
                  </w:tcBorders>
                  <w:shd w:val="clear" w:color="000000" w:fill="FDE9D9"/>
                  <w:noWrap/>
                  <w:vAlign w:val="center"/>
                  <w:hideMark/>
                </w:tcPr>
                <w:p w14:paraId="6BF2667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4.20 </w:t>
                  </w:r>
                </w:p>
              </w:tc>
              <w:tc>
                <w:tcPr>
                  <w:tcW w:w="921" w:type="dxa"/>
                  <w:tcBorders>
                    <w:top w:val="nil"/>
                    <w:left w:val="nil"/>
                    <w:bottom w:val="single" w:sz="8" w:space="0" w:color="FFFFFF"/>
                    <w:right w:val="single" w:sz="8" w:space="0" w:color="FFFFFF"/>
                  </w:tcBorders>
                  <w:shd w:val="clear" w:color="000000" w:fill="FDE9D9"/>
                  <w:noWrap/>
                  <w:vAlign w:val="center"/>
                  <w:hideMark/>
                </w:tcPr>
                <w:p w14:paraId="4D51E08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4.59 </w:t>
                  </w:r>
                </w:p>
              </w:tc>
              <w:tc>
                <w:tcPr>
                  <w:tcW w:w="921" w:type="dxa"/>
                  <w:tcBorders>
                    <w:top w:val="nil"/>
                    <w:left w:val="nil"/>
                    <w:bottom w:val="single" w:sz="8" w:space="0" w:color="FFFFFF"/>
                    <w:right w:val="single" w:sz="8" w:space="0" w:color="FFFFFF"/>
                  </w:tcBorders>
                  <w:shd w:val="clear" w:color="000000" w:fill="FDE9D9"/>
                  <w:noWrap/>
                  <w:vAlign w:val="center"/>
                  <w:hideMark/>
                </w:tcPr>
                <w:p w14:paraId="591EDDD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7.22 </w:t>
                  </w:r>
                </w:p>
              </w:tc>
              <w:tc>
                <w:tcPr>
                  <w:tcW w:w="1157" w:type="dxa"/>
                  <w:tcBorders>
                    <w:top w:val="nil"/>
                    <w:left w:val="nil"/>
                    <w:bottom w:val="single" w:sz="8" w:space="0" w:color="FFFFFF"/>
                    <w:right w:val="single" w:sz="8" w:space="0" w:color="FFFFFF"/>
                  </w:tcBorders>
                  <w:shd w:val="clear" w:color="000000" w:fill="FDE9D9"/>
                  <w:noWrap/>
                  <w:vAlign w:val="center"/>
                  <w:hideMark/>
                </w:tcPr>
                <w:p w14:paraId="1030D87F"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3CEE48B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0.80 </w:t>
                  </w:r>
                </w:p>
              </w:tc>
              <w:tc>
                <w:tcPr>
                  <w:tcW w:w="921" w:type="dxa"/>
                  <w:tcBorders>
                    <w:top w:val="nil"/>
                    <w:left w:val="nil"/>
                    <w:bottom w:val="single" w:sz="8" w:space="0" w:color="FFFFFF"/>
                    <w:right w:val="single" w:sz="8" w:space="0" w:color="FFFFFF"/>
                  </w:tcBorders>
                  <w:shd w:val="clear" w:color="000000" w:fill="FDE9D9"/>
                  <w:noWrap/>
                  <w:vAlign w:val="center"/>
                  <w:hideMark/>
                </w:tcPr>
                <w:p w14:paraId="1C697B3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1.11 </w:t>
                  </w:r>
                </w:p>
              </w:tc>
              <w:tc>
                <w:tcPr>
                  <w:tcW w:w="921" w:type="dxa"/>
                  <w:tcBorders>
                    <w:top w:val="nil"/>
                    <w:left w:val="nil"/>
                    <w:bottom w:val="single" w:sz="8" w:space="0" w:color="FFFFFF"/>
                    <w:right w:val="single" w:sz="8" w:space="0" w:color="FFFFFF"/>
                  </w:tcBorders>
                  <w:shd w:val="clear" w:color="000000" w:fill="FDE9D9"/>
                  <w:noWrap/>
                  <w:vAlign w:val="center"/>
                  <w:hideMark/>
                </w:tcPr>
                <w:p w14:paraId="15A9A15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1.50 </w:t>
                  </w:r>
                </w:p>
              </w:tc>
              <w:tc>
                <w:tcPr>
                  <w:tcW w:w="921" w:type="dxa"/>
                  <w:tcBorders>
                    <w:top w:val="nil"/>
                    <w:left w:val="nil"/>
                    <w:bottom w:val="single" w:sz="8" w:space="0" w:color="FFFFFF"/>
                    <w:right w:val="single" w:sz="8" w:space="0" w:color="FFFFFF"/>
                  </w:tcBorders>
                  <w:shd w:val="clear" w:color="000000" w:fill="FDE9D9"/>
                  <w:noWrap/>
                  <w:vAlign w:val="center"/>
                  <w:hideMark/>
                </w:tcPr>
                <w:p w14:paraId="279E3ED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4.13 </w:t>
                  </w:r>
                </w:p>
              </w:tc>
            </w:tr>
            <w:tr w:rsidR="0077705A" w:rsidRPr="0077705A" w14:paraId="7F63D91E" w14:textId="77777777" w:rsidTr="0077705A">
              <w:trPr>
                <w:trHeight w:val="300"/>
              </w:trPr>
              <w:tc>
                <w:tcPr>
                  <w:tcW w:w="1350" w:type="dxa"/>
                  <w:tcBorders>
                    <w:top w:val="nil"/>
                    <w:left w:val="nil"/>
                    <w:bottom w:val="nil"/>
                    <w:right w:val="nil"/>
                  </w:tcBorders>
                  <w:shd w:val="clear" w:color="000000" w:fill="FCD5B4"/>
                  <w:noWrap/>
                  <w:vAlign w:val="center"/>
                  <w:hideMark/>
                </w:tcPr>
                <w:p w14:paraId="6624BCF7"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A724E2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4.06 </w:t>
                  </w:r>
                </w:p>
              </w:tc>
              <w:tc>
                <w:tcPr>
                  <w:tcW w:w="921" w:type="dxa"/>
                  <w:tcBorders>
                    <w:top w:val="nil"/>
                    <w:left w:val="nil"/>
                    <w:bottom w:val="single" w:sz="8" w:space="0" w:color="FFFFFF"/>
                    <w:right w:val="single" w:sz="8" w:space="0" w:color="FFFFFF"/>
                  </w:tcBorders>
                  <w:shd w:val="clear" w:color="000000" w:fill="FCD5B4"/>
                  <w:noWrap/>
                  <w:vAlign w:val="center"/>
                  <w:hideMark/>
                </w:tcPr>
                <w:p w14:paraId="7E2C589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4.41 </w:t>
                  </w:r>
                </w:p>
              </w:tc>
              <w:tc>
                <w:tcPr>
                  <w:tcW w:w="921" w:type="dxa"/>
                  <w:tcBorders>
                    <w:top w:val="nil"/>
                    <w:left w:val="nil"/>
                    <w:bottom w:val="single" w:sz="8" w:space="0" w:color="FFFFFF"/>
                    <w:right w:val="single" w:sz="8" w:space="0" w:color="FFFFFF"/>
                  </w:tcBorders>
                  <w:shd w:val="clear" w:color="000000" w:fill="FCD5B4"/>
                  <w:noWrap/>
                  <w:vAlign w:val="center"/>
                  <w:hideMark/>
                </w:tcPr>
                <w:p w14:paraId="064FD52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4.81 </w:t>
                  </w:r>
                </w:p>
              </w:tc>
              <w:tc>
                <w:tcPr>
                  <w:tcW w:w="921" w:type="dxa"/>
                  <w:tcBorders>
                    <w:top w:val="nil"/>
                    <w:left w:val="nil"/>
                    <w:bottom w:val="single" w:sz="8" w:space="0" w:color="FFFFFF"/>
                    <w:right w:val="single" w:sz="8" w:space="0" w:color="FFFFFF"/>
                  </w:tcBorders>
                  <w:shd w:val="clear" w:color="000000" w:fill="FCD5B4"/>
                  <w:noWrap/>
                  <w:vAlign w:val="center"/>
                  <w:hideMark/>
                </w:tcPr>
                <w:p w14:paraId="3FB0FE7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7.49 </w:t>
                  </w:r>
                </w:p>
              </w:tc>
              <w:tc>
                <w:tcPr>
                  <w:tcW w:w="1157" w:type="dxa"/>
                  <w:tcBorders>
                    <w:top w:val="nil"/>
                    <w:left w:val="nil"/>
                    <w:bottom w:val="nil"/>
                    <w:right w:val="nil"/>
                  </w:tcBorders>
                  <w:shd w:val="clear" w:color="000000" w:fill="FCD5B4"/>
                  <w:noWrap/>
                  <w:vAlign w:val="center"/>
                  <w:hideMark/>
                </w:tcPr>
                <w:p w14:paraId="041F68D6"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44059D6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0.84 </w:t>
                  </w:r>
                </w:p>
              </w:tc>
              <w:tc>
                <w:tcPr>
                  <w:tcW w:w="921" w:type="dxa"/>
                  <w:tcBorders>
                    <w:top w:val="nil"/>
                    <w:left w:val="nil"/>
                    <w:bottom w:val="single" w:sz="8" w:space="0" w:color="FFFFFF"/>
                    <w:right w:val="single" w:sz="8" w:space="0" w:color="FFFFFF"/>
                  </w:tcBorders>
                  <w:shd w:val="clear" w:color="000000" w:fill="FCD5B4"/>
                  <w:noWrap/>
                  <w:vAlign w:val="center"/>
                  <w:hideMark/>
                </w:tcPr>
                <w:p w14:paraId="2674531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1.19 </w:t>
                  </w:r>
                </w:p>
              </w:tc>
              <w:tc>
                <w:tcPr>
                  <w:tcW w:w="921" w:type="dxa"/>
                  <w:tcBorders>
                    <w:top w:val="nil"/>
                    <w:left w:val="nil"/>
                    <w:bottom w:val="single" w:sz="8" w:space="0" w:color="FFFFFF"/>
                    <w:right w:val="single" w:sz="8" w:space="0" w:color="FFFFFF"/>
                  </w:tcBorders>
                  <w:shd w:val="clear" w:color="000000" w:fill="FCD5B4"/>
                  <w:noWrap/>
                  <w:vAlign w:val="center"/>
                  <w:hideMark/>
                </w:tcPr>
                <w:p w14:paraId="57A41E3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1.59 </w:t>
                  </w:r>
                </w:p>
              </w:tc>
              <w:tc>
                <w:tcPr>
                  <w:tcW w:w="921" w:type="dxa"/>
                  <w:tcBorders>
                    <w:top w:val="nil"/>
                    <w:left w:val="nil"/>
                    <w:bottom w:val="single" w:sz="8" w:space="0" w:color="FFFFFF"/>
                    <w:right w:val="single" w:sz="8" w:space="0" w:color="FFFFFF"/>
                  </w:tcBorders>
                  <w:shd w:val="clear" w:color="000000" w:fill="FCD5B4"/>
                  <w:noWrap/>
                  <w:vAlign w:val="center"/>
                  <w:hideMark/>
                </w:tcPr>
                <w:p w14:paraId="4E28697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4.27 </w:t>
                  </w:r>
                </w:p>
              </w:tc>
            </w:tr>
            <w:tr w:rsidR="0077705A" w:rsidRPr="0077705A" w14:paraId="5781CDA2" w14:textId="77777777" w:rsidTr="0077705A">
              <w:trPr>
                <w:trHeight w:val="150"/>
              </w:trPr>
              <w:tc>
                <w:tcPr>
                  <w:tcW w:w="1350" w:type="dxa"/>
                  <w:tcBorders>
                    <w:top w:val="nil"/>
                    <w:left w:val="nil"/>
                    <w:bottom w:val="nil"/>
                    <w:right w:val="nil"/>
                  </w:tcBorders>
                  <w:shd w:val="clear" w:color="auto" w:fill="auto"/>
                  <w:noWrap/>
                  <w:vAlign w:val="center"/>
                  <w:hideMark/>
                </w:tcPr>
                <w:p w14:paraId="348D45A4" w14:textId="77777777" w:rsidR="0077705A" w:rsidRPr="0077705A" w:rsidRDefault="0077705A" w:rsidP="0077705A">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2AB5743B"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E38B222"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0168CC2"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C22B01D" w14:textId="77777777" w:rsidR="0077705A" w:rsidRPr="0077705A" w:rsidRDefault="0077705A" w:rsidP="0077705A">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09CB26E0"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19F06DD"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CD71B8F"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3491D88"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6FEC96A" w14:textId="77777777" w:rsidR="0077705A" w:rsidRPr="0077705A" w:rsidRDefault="0077705A" w:rsidP="0077705A">
                  <w:pPr>
                    <w:widowControl/>
                    <w:jc w:val="center"/>
                    <w:rPr>
                      <w:rFonts w:ascii="Times New Roman" w:eastAsia="Times New Roman" w:hAnsi="Times New Roman"/>
                      <w:kern w:val="0"/>
                      <w:sz w:val="20"/>
                      <w:szCs w:val="20"/>
                    </w:rPr>
                  </w:pPr>
                </w:p>
              </w:tc>
            </w:tr>
            <w:tr w:rsidR="0077705A" w:rsidRPr="0077705A" w14:paraId="0E52E840" w14:textId="77777777" w:rsidTr="0077705A">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29BAAFCC" w14:textId="77777777" w:rsidR="0077705A" w:rsidRPr="0077705A" w:rsidRDefault="0077705A" w:rsidP="0077705A">
                  <w:pPr>
                    <w:widowControl/>
                    <w:jc w:val="center"/>
                    <w:rPr>
                      <w:rFonts w:ascii="楷体" w:eastAsia="楷体" w:hAnsi="楷体" w:cs="宋体"/>
                      <w:b/>
                      <w:bCs/>
                      <w:color w:val="FFFFFF"/>
                      <w:kern w:val="0"/>
                      <w:sz w:val="20"/>
                      <w:szCs w:val="20"/>
                    </w:rPr>
                  </w:pPr>
                  <w:proofErr w:type="gramStart"/>
                  <w:r w:rsidRPr="0077705A">
                    <w:rPr>
                      <w:rFonts w:ascii="楷体" w:eastAsia="楷体" w:hAnsi="楷体" w:cs="宋体" w:hint="eastAsia"/>
                      <w:b/>
                      <w:bCs/>
                      <w:color w:val="FFFFFF"/>
                      <w:kern w:val="0"/>
                      <w:sz w:val="20"/>
                      <w:szCs w:val="20"/>
                    </w:rPr>
                    <w:t>周变化</w:t>
                  </w:r>
                  <w:proofErr w:type="gramEnd"/>
                  <w:r w:rsidRPr="0077705A">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79F6E6D1"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001EB98"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4B7EFE0"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F7A2D0F"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5D1F5344"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15CA4819"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C3CAC3F"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EA8931A"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4201858"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r>
            <w:tr w:rsidR="0077705A" w:rsidRPr="0077705A" w14:paraId="260ABA03" w14:textId="77777777" w:rsidTr="0077705A">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1DA49188"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4D6FBD5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-8.1 </w:t>
                  </w:r>
                </w:p>
              </w:tc>
              <w:tc>
                <w:tcPr>
                  <w:tcW w:w="921" w:type="dxa"/>
                  <w:tcBorders>
                    <w:top w:val="nil"/>
                    <w:left w:val="nil"/>
                    <w:bottom w:val="single" w:sz="8" w:space="0" w:color="FFFFFF"/>
                    <w:right w:val="single" w:sz="8" w:space="0" w:color="FFFFFF"/>
                  </w:tcBorders>
                  <w:shd w:val="clear" w:color="000000" w:fill="FCD5B4"/>
                  <w:noWrap/>
                  <w:vAlign w:val="center"/>
                  <w:hideMark/>
                </w:tcPr>
                <w:p w14:paraId="52BE74A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-8.1 </w:t>
                  </w:r>
                </w:p>
              </w:tc>
              <w:tc>
                <w:tcPr>
                  <w:tcW w:w="921" w:type="dxa"/>
                  <w:tcBorders>
                    <w:top w:val="nil"/>
                    <w:left w:val="nil"/>
                    <w:bottom w:val="single" w:sz="8" w:space="0" w:color="FFFFFF"/>
                    <w:right w:val="single" w:sz="8" w:space="0" w:color="FFFFFF"/>
                  </w:tcBorders>
                  <w:shd w:val="clear" w:color="000000" w:fill="FCD5B4"/>
                  <w:noWrap/>
                  <w:vAlign w:val="center"/>
                  <w:hideMark/>
                </w:tcPr>
                <w:p w14:paraId="6F8E65F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-7.1 </w:t>
                  </w:r>
                </w:p>
              </w:tc>
              <w:tc>
                <w:tcPr>
                  <w:tcW w:w="921" w:type="dxa"/>
                  <w:tcBorders>
                    <w:top w:val="nil"/>
                    <w:left w:val="nil"/>
                    <w:bottom w:val="single" w:sz="8" w:space="0" w:color="FFFFFF"/>
                    <w:right w:val="single" w:sz="8" w:space="0" w:color="FFFFFF"/>
                  </w:tcBorders>
                  <w:shd w:val="clear" w:color="000000" w:fill="FCD5B4"/>
                  <w:noWrap/>
                  <w:vAlign w:val="center"/>
                  <w:hideMark/>
                </w:tcPr>
                <w:p w14:paraId="44EB78A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-7.1 </w:t>
                  </w:r>
                </w:p>
              </w:tc>
              <w:tc>
                <w:tcPr>
                  <w:tcW w:w="1157" w:type="dxa"/>
                  <w:tcBorders>
                    <w:top w:val="nil"/>
                    <w:left w:val="nil"/>
                    <w:bottom w:val="single" w:sz="8" w:space="0" w:color="FFFFFF"/>
                    <w:right w:val="single" w:sz="8" w:space="0" w:color="FFFFFF"/>
                  </w:tcBorders>
                  <w:shd w:val="clear" w:color="000000" w:fill="FCD5B4"/>
                  <w:noWrap/>
                  <w:vAlign w:val="center"/>
                  <w:hideMark/>
                </w:tcPr>
                <w:p w14:paraId="188034C6"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097559D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-11.7 </w:t>
                  </w:r>
                </w:p>
              </w:tc>
              <w:tc>
                <w:tcPr>
                  <w:tcW w:w="921" w:type="dxa"/>
                  <w:tcBorders>
                    <w:top w:val="nil"/>
                    <w:left w:val="nil"/>
                    <w:bottom w:val="single" w:sz="8" w:space="0" w:color="FFFFFF"/>
                    <w:right w:val="single" w:sz="8" w:space="0" w:color="FFFFFF"/>
                  </w:tcBorders>
                  <w:shd w:val="clear" w:color="000000" w:fill="FCD5B4"/>
                  <w:noWrap/>
                  <w:vAlign w:val="center"/>
                  <w:hideMark/>
                </w:tcPr>
                <w:p w14:paraId="760337C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-11.7 </w:t>
                  </w:r>
                </w:p>
              </w:tc>
              <w:tc>
                <w:tcPr>
                  <w:tcW w:w="921" w:type="dxa"/>
                  <w:tcBorders>
                    <w:top w:val="nil"/>
                    <w:left w:val="nil"/>
                    <w:bottom w:val="single" w:sz="8" w:space="0" w:color="FFFFFF"/>
                    <w:right w:val="single" w:sz="8" w:space="0" w:color="FFFFFF"/>
                  </w:tcBorders>
                  <w:shd w:val="clear" w:color="000000" w:fill="FCD5B4"/>
                  <w:noWrap/>
                  <w:vAlign w:val="center"/>
                  <w:hideMark/>
                </w:tcPr>
                <w:p w14:paraId="747FEED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-10.7 </w:t>
                  </w:r>
                </w:p>
              </w:tc>
              <w:tc>
                <w:tcPr>
                  <w:tcW w:w="921" w:type="dxa"/>
                  <w:tcBorders>
                    <w:top w:val="nil"/>
                    <w:left w:val="nil"/>
                    <w:bottom w:val="single" w:sz="8" w:space="0" w:color="FFFFFF"/>
                    <w:right w:val="single" w:sz="8" w:space="0" w:color="FFFFFF"/>
                  </w:tcBorders>
                  <w:shd w:val="clear" w:color="000000" w:fill="FCD5B4"/>
                  <w:noWrap/>
                  <w:vAlign w:val="center"/>
                  <w:hideMark/>
                </w:tcPr>
                <w:p w14:paraId="6AFA794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-10.7 </w:t>
                  </w:r>
                </w:p>
              </w:tc>
            </w:tr>
            <w:tr w:rsidR="0077705A" w:rsidRPr="0077705A" w14:paraId="7FCAA2F1"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48EC143"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7398D55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-6.4 </w:t>
                  </w:r>
                </w:p>
              </w:tc>
              <w:tc>
                <w:tcPr>
                  <w:tcW w:w="921" w:type="dxa"/>
                  <w:tcBorders>
                    <w:top w:val="nil"/>
                    <w:left w:val="nil"/>
                    <w:bottom w:val="single" w:sz="8" w:space="0" w:color="FFFFFF"/>
                    <w:right w:val="single" w:sz="8" w:space="0" w:color="FFFFFF"/>
                  </w:tcBorders>
                  <w:shd w:val="clear" w:color="000000" w:fill="FDE9D9"/>
                  <w:noWrap/>
                  <w:vAlign w:val="center"/>
                  <w:hideMark/>
                </w:tcPr>
                <w:p w14:paraId="493D7F0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-3.4 </w:t>
                  </w:r>
                </w:p>
              </w:tc>
              <w:tc>
                <w:tcPr>
                  <w:tcW w:w="921" w:type="dxa"/>
                  <w:tcBorders>
                    <w:top w:val="nil"/>
                    <w:left w:val="nil"/>
                    <w:bottom w:val="single" w:sz="8" w:space="0" w:color="FFFFFF"/>
                    <w:right w:val="single" w:sz="8" w:space="0" w:color="FFFFFF"/>
                  </w:tcBorders>
                  <w:shd w:val="clear" w:color="000000" w:fill="FDE9D9"/>
                  <w:noWrap/>
                  <w:vAlign w:val="center"/>
                  <w:hideMark/>
                </w:tcPr>
                <w:p w14:paraId="573F760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-2.4 </w:t>
                  </w:r>
                </w:p>
              </w:tc>
              <w:tc>
                <w:tcPr>
                  <w:tcW w:w="921" w:type="dxa"/>
                  <w:tcBorders>
                    <w:top w:val="nil"/>
                    <w:left w:val="nil"/>
                    <w:bottom w:val="single" w:sz="8" w:space="0" w:color="FFFFFF"/>
                    <w:right w:val="single" w:sz="8" w:space="0" w:color="FFFFFF"/>
                  </w:tcBorders>
                  <w:shd w:val="clear" w:color="000000" w:fill="FDE9D9"/>
                  <w:noWrap/>
                  <w:vAlign w:val="center"/>
                  <w:hideMark/>
                </w:tcPr>
                <w:p w14:paraId="389FCAC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-2.4 </w:t>
                  </w:r>
                </w:p>
              </w:tc>
              <w:tc>
                <w:tcPr>
                  <w:tcW w:w="1157" w:type="dxa"/>
                  <w:tcBorders>
                    <w:top w:val="nil"/>
                    <w:left w:val="nil"/>
                    <w:bottom w:val="single" w:sz="8" w:space="0" w:color="FFFFFF"/>
                    <w:right w:val="single" w:sz="8" w:space="0" w:color="FFFFFF"/>
                  </w:tcBorders>
                  <w:shd w:val="clear" w:color="000000" w:fill="FDE9D9"/>
                  <w:noWrap/>
                  <w:vAlign w:val="center"/>
                  <w:hideMark/>
                </w:tcPr>
                <w:p w14:paraId="65320A47"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4BC1408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-8.0 </w:t>
                  </w:r>
                </w:p>
              </w:tc>
              <w:tc>
                <w:tcPr>
                  <w:tcW w:w="921" w:type="dxa"/>
                  <w:tcBorders>
                    <w:top w:val="nil"/>
                    <w:left w:val="nil"/>
                    <w:bottom w:val="single" w:sz="8" w:space="0" w:color="FFFFFF"/>
                    <w:right w:val="single" w:sz="8" w:space="0" w:color="FFFFFF"/>
                  </w:tcBorders>
                  <w:shd w:val="clear" w:color="000000" w:fill="FDE9D9"/>
                  <w:noWrap/>
                  <w:vAlign w:val="center"/>
                  <w:hideMark/>
                </w:tcPr>
                <w:p w14:paraId="4FD542C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-5.0 </w:t>
                  </w:r>
                </w:p>
              </w:tc>
              <w:tc>
                <w:tcPr>
                  <w:tcW w:w="921" w:type="dxa"/>
                  <w:tcBorders>
                    <w:top w:val="nil"/>
                    <w:left w:val="nil"/>
                    <w:bottom w:val="single" w:sz="8" w:space="0" w:color="FFFFFF"/>
                    <w:right w:val="single" w:sz="8" w:space="0" w:color="FFFFFF"/>
                  </w:tcBorders>
                  <w:shd w:val="clear" w:color="000000" w:fill="FDE9D9"/>
                  <w:noWrap/>
                  <w:vAlign w:val="center"/>
                  <w:hideMark/>
                </w:tcPr>
                <w:p w14:paraId="436E931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-4.0 </w:t>
                  </w:r>
                </w:p>
              </w:tc>
              <w:tc>
                <w:tcPr>
                  <w:tcW w:w="921" w:type="dxa"/>
                  <w:tcBorders>
                    <w:top w:val="nil"/>
                    <w:left w:val="nil"/>
                    <w:bottom w:val="single" w:sz="8" w:space="0" w:color="FFFFFF"/>
                    <w:right w:val="single" w:sz="8" w:space="0" w:color="FFFFFF"/>
                  </w:tcBorders>
                  <w:shd w:val="clear" w:color="000000" w:fill="FDE9D9"/>
                  <w:noWrap/>
                  <w:vAlign w:val="center"/>
                  <w:hideMark/>
                </w:tcPr>
                <w:p w14:paraId="040CF2C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-4.0 </w:t>
                  </w:r>
                </w:p>
              </w:tc>
            </w:tr>
            <w:tr w:rsidR="0077705A" w:rsidRPr="0077705A" w14:paraId="79A5A15C" w14:textId="77777777" w:rsidTr="0077705A">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BD9F1E9"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32242F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-5.0 </w:t>
                  </w:r>
                </w:p>
              </w:tc>
              <w:tc>
                <w:tcPr>
                  <w:tcW w:w="921" w:type="dxa"/>
                  <w:tcBorders>
                    <w:top w:val="nil"/>
                    <w:left w:val="nil"/>
                    <w:bottom w:val="single" w:sz="8" w:space="0" w:color="FFFFFF"/>
                    <w:right w:val="single" w:sz="8" w:space="0" w:color="FFFFFF"/>
                  </w:tcBorders>
                  <w:shd w:val="clear" w:color="000000" w:fill="FCD5B4"/>
                  <w:noWrap/>
                  <w:vAlign w:val="center"/>
                  <w:hideMark/>
                </w:tcPr>
                <w:p w14:paraId="246F2CC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-5.0 </w:t>
                  </w:r>
                </w:p>
              </w:tc>
              <w:tc>
                <w:tcPr>
                  <w:tcW w:w="921" w:type="dxa"/>
                  <w:tcBorders>
                    <w:top w:val="nil"/>
                    <w:left w:val="nil"/>
                    <w:bottom w:val="single" w:sz="8" w:space="0" w:color="FFFFFF"/>
                    <w:right w:val="single" w:sz="8" w:space="0" w:color="FFFFFF"/>
                  </w:tcBorders>
                  <w:shd w:val="clear" w:color="000000" w:fill="FCD5B4"/>
                  <w:noWrap/>
                  <w:vAlign w:val="center"/>
                  <w:hideMark/>
                </w:tcPr>
                <w:p w14:paraId="5816D47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CD5B4"/>
                  <w:noWrap/>
                  <w:vAlign w:val="center"/>
                  <w:hideMark/>
                </w:tcPr>
                <w:p w14:paraId="7EE0EBA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-3.0 </w:t>
                  </w:r>
                </w:p>
              </w:tc>
              <w:tc>
                <w:tcPr>
                  <w:tcW w:w="1157" w:type="dxa"/>
                  <w:tcBorders>
                    <w:top w:val="nil"/>
                    <w:left w:val="nil"/>
                    <w:bottom w:val="single" w:sz="8" w:space="0" w:color="FFFFFF"/>
                    <w:right w:val="single" w:sz="8" w:space="0" w:color="FFFFFF"/>
                  </w:tcBorders>
                  <w:shd w:val="clear" w:color="000000" w:fill="FCD5B4"/>
                  <w:noWrap/>
                  <w:vAlign w:val="center"/>
                  <w:hideMark/>
                </w:tcPr>
                <w:p w14:paraId="15BE835A"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48C1C10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-3.3 </w:t>
                  </w:r>
                </w:p>
              </w:tc>
              <w:tc>
                <w:tcPr>
                  <w:tcW w:w="921" w:type="dxa"/>
                  <w:tcBorders>
                    <w:top w:val="nil"/>
                    <w:left w:val="nil"/>
                    <w:bottom w:val="single" w:sz="8" w:space="0" w:color="FFFFFF"/>
                    <w:right w:val="single" w:sz="8" w:space="0" w:color="FFFFFF"/>
                  </w:tcBorders>
                  <w:shd w:val="clear" w:color="000000" w:fill="FCD5B4"/>
                  <w:noWrap/>
                  <w:vAlign w:val="center"/>
                  <w:hideMark/>
                </w:tcPr>
                <w:p w14:paraId="4C16FF4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-3.3 </w:t>
                  </w:r>
                </w:p>
              </w:tc>
              <w:tc>
                <w:tcPr>
                  <w:tcW w:w="921" w:type="dxa"/>
                  <w:tcBorders>
                    <w:top w:val="nil"/>
                    <w:left w:val="nil"/>
                    <w:bottom w:val="single" w:sz="8" w:space="0" w:color="FFFFFF"/>
                    <w:right w:val="single" w:sz="8" w:space="0" w:color="FFFFFF"/>
                  </w:tcBorders>
                  <w:shd w:val="clear" w:color="000000" w:fill="FCD5B4"/>
                  <w:noWrap/>
                  <w:vAlign w:val="center"/>
                  <w:hideMark/>
                </w:tcPr>
                <w:p w14:paraId="294B7F6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CD5B4"/>
                  <w:noWrap/>
                  <w:vAlign w:val="center"/>
                  <w:hideMark/>
                </w:tcPr>
                <w:p w14:paraId="5062CED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-1.3 </w:t>
                  </w:r>
                </w:p>
              </w:tc>
            </w:tr>
            <w:tr w:rsidR="0077705A" w:rsidRPr="0077705A" w14:paraId="75A8A4DB"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22C3A69"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55C9AEE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-7.0 </w:t>
                  </w:r>
                </w:p>
              </w:tc>
              <w:tc>
                <w:tcPr>
                  <w:tcW w:w="921" w:type="dxa"/>
                  <w:tcBorders>
                    <w:top w:val="nil"/>
                    <w:left w:val="nil"/>
                    <w:bottom w:val="single" w:sz="8" w:space="0" w:color="FFFFFF"/>
                    <w:right w:val="single" w:sz="8" w:space="0" w:color="FFFFFF"/>
                  </w:tcBorders>
                  <w:shd w:val="clear" w:color="000000" w:fill="FDE9D9"/>
                  <w:noWrap/>
                  <w:vAlign w:val="center"/>
                  <w:hideMark/>
                </w:tcPr>
                <w:p w14:paraId="3546B45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-10.0 </w:t>
                  </w:r>
                </w:p>
              </w:tc>
              <w:tc>
                <w:tcPr>
                  <w:tcW w:w="921" w:type="dxa"/>
                  <w:tcBorders>
                    <w:top w:val="nil"/>
                    <w:left w:val="nil"/>
                    <w:bottom w:val="single" w:sz="8" w:space="0" w:color="FFFFFF"/>
                    <w:right w:val="single" w:sz="8" w:space="0" w:color="FFFFFF"/>
                  </w:tcBorders>
                  <w:shd w:val="clear" w:color="000000" w:fill="FDE9D9"/>
                  <w:noWrap/>
                  <w:vAlign w:val="center"/>
                  <w:hideMark/>
                </w:tcPr>
                <w:p w14:paraId="74808BA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-9.0 </w:t>
                  </w:r>
                </w:p>
              </w:tc>
              <w:tc>
                <w:tcPr>
                  <w:tcW w:w="921" w:type="dxa"/>
                  <w:tcBorders>
                    <w:top w:val="nil"/>
                    <w:left w:val="nil"/>
                    <w:bottom w:val="single" w:sz="8" w:space="0" w:color="FFFFFF"/>
                    <w:right w:val="single" w:sz="8" w:space="0" w:color="FFFFFF"/>
                  </w:tcBorders>
                  <w:shd w:val="clear" w:color="000000" w:fill="FDE9D9"/>
                  <w:noWrap/>
                  <w:vAlign w:val="center"/>
                  <w:hideMark/>
                </w:tcPr>
                <w:p w14:paraId="027B362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-9.0 </w:t>
                  </w:r>
                </w:p>
              </w:tc>
              <w:tc>
                <w:tcPr>
                  <w:tcW w:w="1157" w:type="dxa"/>
                  <w:tcBorders>
                    <w:top w:val="nil"/>
                    <w:left w:val="nil"/>
                    <w:bottom w:val="single" w:sz="8" w:space="0" w:color="FFFFFF"/>
                    <w:right w:val="single" w:sz="8" w:space="0" w:color="FFFFFF"/>
                  </w:tcBorders>
                  <w:shd w:val="clear" w:color="000000" w:fill="FDE9D9"/>
                  <w:noWrap/>
                  <w:vAlign w:val="center"/>
                  <w:hideMark/>
                </w:tcPr>
                <w:p w14:paraId="4BDA3D61"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0E7194B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-8.7 </w:t>
                  </w:r>
                </w:p>
              </w:tc>
              <w:tc>
                <w:tcPr>
                  <w:tcW w:w="921" w:type="dxa"/>
                  <w:tcBorders>
                    <w:top w:val="nil"/>
                    <w:left w:val="nil"/>
                    <w:bottom w:val="single" w:sz="8" w:space="0" w:color="FFFFFF"/>
                    <w:right w:val="single" w:sz="8" w:space="0" w:color="FFFFFF"/>
                  </w:tcBorders>
                  <w:shd w:val="clear" w:color="000000" w:fill="FDE9D9"/>
                  <w:noWrap/>
                  <w:vAlign w:val="center"/>
                  <w:hideMark/>
                </w:tcPr>
                <w:p w14:paraId="3662551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-11.7 </w:t>
                  </w:r>
                </w:p>
              </w:tc>
              <w:tc>
                <w:tcPr>
                  <w:tcW w:w="921" w:type="dxa"/>
                  <w:tcBorders>
                    <w:top w:val="nil"/>
                    <w:left w:val="nil"/>
                    <w:bottom w:val="single" w:sz="8" w:space="0" w:color="FFFFFF"/>
                    <w:right w:val="single" w:sz="8" w:space="0" w:color="FFFFFF"/>
                  </w:tcBorders>
                  <w:shd w:val="clear" w:color="000000" w:fill="FDE9D9"/>
                  <w:noWrap/>
                  <w:vAlign w:val="center"/>
                  <w:hideMark/>
                </w:tcPr>
                <w:p w14:paraId="7566564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-10.7 </w:t>
                  </w:r>
                </w:p>
              </w:tc>
              <w:tc>
                <w:tcPr>
                  <w:tcW w:w="921" w:type="dxa"/>
                  <w:tcBorders>
                    <w:top w:val="nil"/>
                    <w:left w:val="nil"/>
                    <w:bottom w:val="single" w:sz="8" w:space="0" w:color="FFFFFF"/>
                    <w:right w:val="single" w:sz="8" w:space="0" w:color="FFFFFF"/>
                  </w:tcBorders>
                  <w:shd w:val="clear" w:color="000000" w:fill="FDE9D9"/>
                  <w:noWrap/>
                  <w:vAlign w:val="center"/>
                  <w:hideMark/>
                </w:tcPr>
                <w:p w14:paraId="72099BB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-10.7 </w:t>
                  </w:r>
                </w:p>
              </w:tc>
            </w:tr>
            <w:tr w:rsidR="0077705A" w:rsidRPr="0077705A" w14:paraId="68B049DE" w14:textId="77777777" w:rsidTr="0077705A">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1C967DB"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06A237F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-4.5 </w:t>
                  </w:r>
                </w:p>
              </w:tc>
              <w:tc>
                <w:tcPr>
                  <w:tcW w:w="921" w:type="dxa"/>
                  <w:tcBorders>
                    <w:top w:val="nil"/>
                    <w:left w:val="nil"/>
                    <w:bottom w:val="single" w:sz="8" w:space="0" w:color="FFFFFF"/>
                    <w:right w:val="single" w:sz="8" w:space="0" w:color="FFFFFF"/>
                  </w:tcBorders>
                  <w:shd w:val="clear" w:color="000000" w:fill="FCD5B4"/>
                  <w:noWrap/>
                  <w:vAlign w:val="center"/>
                  <w:hideMark/>
                </w:tcPr>
                <w:p w14:paraId="1849DECB"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-4.5 </w:t>
                  </w:r>
                </w:p>
              </w:tc>
              <w:tc>
                <w:tcPr>
                  <w:tcW w:w="921" w:type="dxa"/>
                  <w:tcBorders>
                    <w:top w:val="nil"/>
                    <w:left w:val="nil"/>
                    <w:bottom w:val="single" w:sz="8" w:space="0" w:color="FFFFFF"/>
                    <w:right w:val="single" w:sz="8" w:space="0" w:color="FFFFFF"/>
                  </w:tcBorders>
                  <w:shd w:val="clear" w:color="000000" w:fill="FCD5B4"/>
                  <w:noWrap/>
                  <w:vAlign w:val="center"/>
                  <w:hideMark/>
                </w:tcPr>
                <w:p w14:paraId="64F4BFF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-5.5 </w:t>
                  </w:r>
                </w:p>
              </w:tc>
              <w:tc>
                <w:tcPr>
                  <w:tcW w:w="921" w:type="dxa"/>
                  <w:tcBorders>
                    <w:top w:val="nil"/>
                    <w:left w:val="nil"/>
                    <w:bottom w:val="single" w:sz="8" w:space="0" w:color="FFFFFF"/>
                    <w:right w:val="single" w:sz="8" w:space="0" w:color="FFFFFF"/>
                  </w:tcBorders>
                  <w:shd w:val="clear" w:color="000000" w:fill="FCD5B4"/>
                  <w:noWrap/>
                  <w:vAlign w:val="center"/>
                  <w:hideMark/>
                </w:tcPr>
                <w:p w14:paraId="1C75B66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-5.5 </w:t>
                  </w:r>
                </w:p>
              </w:tc>
              <w:tc>
                <w:tcPr>
                  <w:tcW w:w="1157" w:type="dxa"/>
                  <w:tcBorders>
                    <w:top w:val="nil"/>
                    <w:left w:val="nil"/>
                    <w:bottom w:val="single" w:sz="8" w:space="0" w:color="FFFFFF"/>
                    <w:right w:val="single" w:sz="8" w:space="0" w:color="FFFFFF"/>
                  </w:tcBorders>
                  <w:shd w:val="clear" w:color="000000" w:fill="FCD5B4"/>
                  <w:noWrap/>
                  <w:vAlign w:val="center"/>
                  <w:hideMark/>
                </w:tcPr>
                <w:p w14:paraId="6AE48747"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5C26AF8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53285D8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4E99DB1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-3.7 </w:t>
                  </w:r>
                </w:p>
              </w:tc>
              <w:tc>
                <w:tcPr>
                  <w:tcW w:w="921" w:type="dxa"/>
                  <w:tcBorders>
                    <w:top w:val="nil"/>
                    <w:left w:val="nil"/>
                    <w:bottom w:val="single" w:sz="8" w:space="0" w:color="FFFFFF"/>
                    <w:right w:val="single" w:sz="8" w:space="0" w:color="FFFFFF"/>
                  </w:tcBorders>
                  <w:shd w:val="clear" w:color="000000" w:fill="FCD5B4"/>
                  <w:noWrap/>
                  <w:vAlign w:val="center"/>
                  <w:hideMark/>
                </w:tcPr>
                <w:p w14:paraId="7F75E3C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-3.7 </w:t>
                  </w:r>
                </w:p>
              </w:tc>
            </w:tr>
            <w:tr w:rsidR="0077705A" w:rsidRPr="0077705A" w14:paraId="0572A99C"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E0EBE29"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6A2160B"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DE9D9"/>
                  <w:noWrap/>
                  <w:vAlign w:val="center"/>
                  <w:hideMark/>
                </w:tcPr>
                <w:p w14:paraId="3334741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DE9D9"/>
                  <w:noWrap/>
                  <w:vAlign w:val="center"/>
                  <w:hideMark/>
                </w:tcPr>
                <w:p w14:paraId="7E569D3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-6.0 </w:t>
                  </w:r>
                </w:p>
              </w:tc>
              <w:tc>
                <w:tcPr>
                  <w:tcW w:w="921" w:type="dxa"/>
                  <w:tcBorders>
                    <w:top w:val="nil"/>
                    <w:left w:val="nil"/>
                    <w:bottom w:val="single" w:sz="8" w:space="0" w:color="FFFFFF"/>
                    <w:right w:val="single" w:sz="8" w:space="0" w:color="FFFFFF"/>
                  </w:tcBorders>
                  <w:shd w:val="clear" w:color="000000" w:fill="FDE9D9"/>
                  <w:noWrap/>
                  <w:vAlign w:val="center"/>
                  <w:hideMark/>
                </w:tcPr>
                <w:p w14:paraId="5BDA921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-6.0 </w:t>
                  </w:r>
                </w:p>
              </w:tc>
              <w:tc>
                <w:tcPr>
                  <w:tcW w:w="1157" w:type="dxa"/>
                  <w:tcBorders>
                    <w:top w:val="nil"/>
                    <w:left w:val="nil"/>
                    <w:bottom w:val="single" w:sz="8" w:space="0" w:color="FFFFFF"/>
                    <w:right w:val="single" w:sz="8" w:space="0" w:color="FFFFFF"/>
                  </w:tcBorders>
                  <w:shd w:val="clear" w:color="000000" w:fill="FDE9D9"/>
                  <w:noWrap/>
                  <w:vAlign w:val="center"/>
                  <w:hideMark/>
                </w:tcPr>
                <w:p w14:paraId="6B24267E"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64E5A64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1.2 </w:t>
                  </w:r>
                </w:p>
              </w:tc>
              <w:tc>
                <w:tcPr>
                  <w:tcW w:w="921" w:type="dxa"/>
                  <w:tcBorders>
                    <w:top w:val="nil"/>
                    <w:left w:val="nil"/>
                    <w:bottom w:val="single" w:sz="8" w:space="0" w:color="FFFFFF"/>
                    <w:right w:val="single" w:sz="8" w:space="0" w:color="FFFFFF"/>
                  </w:tcBorders>
                  <w:shd w:val="clear" w:color="000000" w:fill="FDE9D9"/>
                  <w:noWrap/>
                  <w:vAlign w:val="center"/>
                  <w:hideMark/>
                </w:tcPr>
                <w:p w14:paraId="592A0C5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1.2 </w:t>
                  </w:r>
                </w:p>
              </w:tc>
              <w:tc>
                <w:tcPr>
                  <w:tcW w:w="921" w:type="dxa"/>
                  <w:tcBorders>
                    <w:top w:val="nil"/>
                    <w:left w:val="nil"/>
                    <w:bottom w:val="single" w:sz="8" w:space="0" w:color="FFFFFF"/>
                    <w:right w:val="single" w:sz="8" w:space="0" w:color="FFFFFF"/>
                  </w:tcBorders>
                  <w:shd w:val="clear" w:color="000000" w:fill="FDE9D9"/>
                  <w:noWrap/>
                  <w:vAlign w:val="center"/>
                  <w:hideMark/>
                </w:tcPr>
                <w:p w14:paraId="3D27AE0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-1.8 </w:t>
                  </w:r>
                </w:p>
              </w:tc>
              <w:tc>
                <w:tcPr>
                  <w:tcW w:w="921" w:type="dxa"/>
                  <w:tcBorders>
                    <w:top w:val="nil"/>
                    <w:left w:val="nil"/>
                    <w:bottom w:val="single" w:sz="8" w:space="0" w:color="FFFFFF"/>
                    <w:right w:val="single" w:sz="8" w:space="0" w:color="FFFFFF"/>
                  </w:tcBorders>
                  <w:shd w:val="clear" w:color="000000" w:fill="FDE9D9"/>
                  <w:noWrap/>
                  <w:vAlign w:val="center"/>
                  <w:hideMark/>
                </w:tcPr>
                <w:p w14:paraId="364B651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-1.8 </w:t>
                  </w:r>
                </w:p>
              </w:tc>
            </w:tr>
            <w:tr w:rsidR="0077705A" w:rsidRPr="0077705A" w14:paraId="1A320BED" w14:textId="77777777" w:rsidTr="0077705A">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AE16F42"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5576098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-4.7 </w:t>
                  </w:r>
                </w:p>
              </w:tc>
              <w:tc>
                <w:tcPr>
                  <w:tcW w:w="921" w:type="dxa"/>
                  <w:tcBorders>
                    <w:top w:val="nil"/>
                    <w:left w:val="nil"/>
                    <w:bottom w:val="single" w:sz="8" w:space="0" w:color="FFFFFF"/>
                    <w:right w:val="single" w:sz="8" w:space="0" w:color="FFFFFF"/>
                  </w:tcBorders>
                  <w:shd w:val="clear" w:color="000000" w:fill="FCD5B4"/>
                  <w:noWrap/>
                  <w:vAlign w:val="center"/>
                  <w:hideMark/>
                </w:tcPr>
                <w:p w14:paraId="2C59202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-7.7 </w:t>
                  </w:r>
                </w:p>
              </w:tc>
              <w:tc>
                <w:tcPr>
                  <w:tcW w:w="921" w:type="dxa"/>
                  <w:tcBorders>
                    <w:top w:val="nil"/>
                    <w:left w:val="nil"/>
                    <w:bottom w:val="single" w:sz="8" w:space="0" w:color="FFFFFF"/>
                    <w:right w:val="single" w:sz="8" w:space="0" w:color="FFFFFF"/>
                  </w:tcBorders>
                  <w:shd w:val="clear" w:color="000000" w:fill="FCD5B4"/>
                  <w:noWrap/>
                  <w:vAlign w:val="center"/>
                  <w:hideMark/>
                </w:tcPr>
                <w:p w14:paraId="7232EE9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-6.7 </w:t>
                  </w:r>
                </w:p>
              </w:tc>
              <w:tc>
                <w:tcPr>
                  <w:tcW w:w="921" w:type="dxa"/>
                  <w:tcBorders>
                    <w:top w:val="nil"/>
                    <w:left w:val="nil"/>
                    <w:bottom w:val="single" w:sz="8" w:space="0" w:color="FFFFFF"/>
                    <w:right w:val="single" w:sz="8" w:space="0" w:color="FFFFFF"/>
                  </w:tcBorders>
                  <w:shd w:val="clear" w:color="000000" w:fill="FCD5B4"/>
                  <w:noWrap/>
                  <w:vAlign w:val="center"/>
                  <w:hideMark/>
                </w:tcPr>
                <w:p w14:paraId="26F77404"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-0.7 </w:t>
                  </w:r>
                </w:p>
              </w:tc>
              <w:tc>
                <w:tcPr>
                  <w:tcW w:w="1157" w:type="dxa"/>
                  <w:tcBorders>
                    <w:top w:val="nil"/>
                    <w:left w:val="nil"/>
                    <w:bottom w:val="single" w:sz="8" w:space="0" w:color="FFFFFF"/>
                    <w:right w:val="single" w:sz="8" w:space="0" w:color="FFFFFF"/>
                  </w:tcBorders>
                  <w:shd w:val="clear" w:color="000000" w:fill="FCD5B4"/>
                  <w:noWrap/>
                  <w:vAlign w:val="center"/>
                  <w:hideMark/>
                </w:tcPr>
                <w:p w14:paraId="7E2A859B"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054887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-6.4 </w:t>
                  </w:r>
                </w:p>
              </w:tc>
              <w:tc>
                <w:tcPr>
                  <w:tcW w:w="921" w:type="dxa"/>
                  <w:tcBorders>
                    <w:top w:val="nil"/>
                    <w:left w:val="nil"/>
                    <w:bottom w:val="single" w:sz="8" w:space="0" w:color="FFFFFF"/>
                    <w:right w:val="single" w:sz="8" w:space="0" w:color="FFFFFF"/>
                  </w:tcBorders>
                  <w:shd w:val="clear" w:color="000000" w:fill="FCD5B4"/>
                  <w:noWrap/>
                  <w:vAlign w:val="center"/>
                  <w:hideMark/>
                </w:tcPr>
                <w:p w14:paraId="060317B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-9.4 </w:t>
                  </w:r>
                </w:p>
              </w:tc>
              <w:tc>
                <w:tcPr>
                  <w:tcW w:w="921" w:type="dxa"/>
                  <w:tcBorders>
                    <w:top w:val="nil"/>
                    <w:left w:val="nil"/>
                    <w:bottom w:val="single" w:sz="8" w:space="0" w:color="FFFFFF"/>
                    <w:right w:val="single" w:sz="8" w:space="0" w:color="FFFFFF"/>
                  </w:tcBorders>
                  <w:shd w:val="clear" w:color="000000" w:fill="FCD5B4"/>
                  <w:noWrap/>
                  <w:vAlign w:val="center"/>
                  <w:hideMark/>
                </w:tcPr>
                <w:p w14:paraId="3FB197F4"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-8.4 </w:t>
                  </w:r>
                </w:p>
              </w:tc>
              <w:tc>
                <w:tcPr>
                  <w:tcW w:w="921" w:type="dxa"/>
                  <w:tcBorders>
                    <w:top w:val="nil"/>
                    <w:left w:val="nil"/>
                    <w:bottom w:val="single" w:sz="8" w:space="0" w:color="FFFFFF"/>
                    <w:right w:val="single" w:sz="8" w:space="0" w:color="FFFFFF"/>
                  </w:tcBorders>
                  <w:shd w:val="clear" w:color="000000" w:fill="FCD5B4"/>
                  <w:noWrap/>
                  <w:vAlign w:val="center"/>
                  <w:hideMark/>
                </w:tcPr>
                <w:p w14:paraId="1B1F48A1"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-2.4 </w:t>
                  </w:r>
                </w:p>
              </w:tc>
            </w:tr>
            <w:tr w:rsidR="0077705A" w:rsidRPr="0077705A" w14:paraId="3052C5B9"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D0048DC"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5EF7D784"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-5.9 </w:t>
                  </w:r>
                </w:p>
              </w:tc>
              <w:tc>
                <w:tcPr>
                  <w:tcW w:w="921" w:type="dxa"/>
                  <w:tcBorders>
                    <w:top w:val="nil"/>
                    <w:left w:val="nil"/>
                    <w:bottom w:val="single" w:sz="8" w:space="0" w:color="FFFFFF"/>
                    <w:right w:val="single" w:sz="8" w:space="0" w:color="FFFFFF"/>
                  </w:tcBorders>
                  <w:shd w:val="clear" w:color="000000" w:fill="FDE9D9"/>
                  <w:noWrap/>
                  <w:vAlign w:val="center"/>
                  <w:hideMark/>
                </w:tcPr>
                <w:p w14:paraId="6513DA9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-8.9 </w:t>
                  </w:r>
                </w:p>
              </w:tc>
              <w:tc>
                <w:tcPr>
                  <w:tcW w:w="921" w:type="dxa"/>
                  <w:tcBorders>
                    <w:top w:val="nil"/>
                    <w:left w:val="nil"/>
                    <w:bottom w:val="single" w:sz="8" w:space="0" w:color="FFFFFF"/>
                    <w:right w:val="single" w:sz="8" w:space="0" w:color="FFFFFF"/>
                  </w:tcBorders>
                  <w:shd w:val="clear" w:color="000000" w:fill="FDE9D9"/>
                  <w:noWrap/>
                  <w:vAlign w:val="center"/>
                  <w:hideMark/>
                </w:tcPr>
                <w:p w14:paraId="45B695F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-5.9 </w:t>
                  </w:r>
                </w:p>
              </w:tc>
              <w:tc>
                <w:tcPr>
                  <w:tcW w:w="921" w:type="dxa"/>
                  <w:tcBorders>
                    <w:top w:val="nil"/>
                    <w:left w:val="nil"/>
                    <w:bottom w:val="single" w:sz="8" w:space="0" w:color="FFFFFF"/>
                    <w:right w:val="single" w:sz="8" w:space="0" w:color="FFFFFF"/>
                  </w:tcBorders>
                  <w:shd w:val="clear" w:color="000000" w:fill="FDE9D9"/>
                  <w:noWrap/>
                  <w:vAlign w:val="center"/>
                  <w:hideMark/>
                </w:tcPr>
                <w:p w14:paraId="08A347C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1.1 </w:t>
                  </w:r>
                </w:p>
              </w:tc>
              <w:tc>
                <w:tcPr>
                  <w:tcW w:w="1157" w:type="dxa"/>
                  <w:tcBorders>
                    <w:top w:val="nil"/>
                    <w:left w:val="nil"/>
                    <w:bottom w:val="single" w:sz="8" w:space="0" w:color="FFFFFF"/>
                    <w:right w:val="single" w:sz="8" w:space="0" w:color="FFFFFF"/>
                  </w:tcBorders>
                  <w:shd w:val="clear" w:color="000000" w:fill="FDE9D9"/>
                  <w:noWrap/>
                  <w:vAlign w:val="center"/>
                  <w:hideMark/>
                </w:tcPr>
                <w:p w14:paraId="7B043443"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6B55F24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-4.2 </w:t>
                  </w:r>
                </w:p>
              </w:tc>
              <w:tc>
                <w:tcPr>
                  <w:tcW w:w="921" w:type="dxa"/>
                  <w:tcBorders>
                    <w:top w:val="nil"/>
                    <w:left w:val="nil"/>
                    <w:bottom w:val="single" w:sz="8" w:space="0" w:color="FFFFFF"/>
                    <w:right w:val="single" w:sz="8" w:space="0" w:color="FFFFFF"/>
                  </w:tcBorders>
                  <w:shd w:val="clear" w:color="000000" w:fill="FDE9D9"/>
                  <w:noWrap/>
                  <w:vAlign w:val="center"/>
                  <w:hideMark/>
                </w:tcPr>
                <w:p w14:paraId="5B3CD5C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-7.2 </w:t>
                  </w:r>
                </w:p>
              </w:tc>
              <w:tc>
                <w:tcPr>
                  <w:tcW w:w="921" w:type="dxa"/>
                  <w:tcBorders>
                    <w:top w:val="nil"/>
                    <w:left w:val="nil"/>
                    <w:bottom w:val="single" w:sz="8" w:space="0" w:color="FFFFFF"/>
                    <w:right w:val="single" w:sz="8" w:space="0" w:color="FFFFFF"/>
                  </w:tcBorders>
                  <w:shd w:val="clear" w:color="000000" w:fill="FDE9D9"/>
                  <w:noWrap/>
                  <w:vAlign w:val="center"/>
                  <w:hideMark/>
                </w:tcPr>
                <w:p w14:paraId="47E2057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-4.2 </w:t>
                  </w:r>
                </w:p>
              </w:tc>
              <w:tc>
                <w:tcPr>
                  <w:tcW w:w="921" w:type="dxa"/>
                  <w:tcBorders>
                    <w:top w:val="nil"/>
                    <w:left w:val="nil"/>
                    <w:bottom w:val="single" w:sz="8" w:space="0" w:color="FFFFFF"/>
                    <w:right w:val="single" w:sz="8" w:space="0" w:color="FFFFFF"/>
                  </w:tcBorders>
                  <w:shd w:val="clear" w:color="000000" w:fill="FDE9D9"/>
                  <w:noWrap/>
                  <w:vAlign w:val="center"/>
                  <w:hideMark/>
                </w:tcPr>
                <w:p w14:paraId="44F9703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2.8 </w:t>
                  </w:r>
                </w:p>
              </w:tc>
            </w:tr>
            <w:tr w:rsidR="0077705A" w:rsidRPr="0077705A" w14:paraId="7FEE2B9D" w14:textId="77777777" w:rsidTr="0077705A">
              <w:trPr>
                <w:trHeight w:val="300"/>
              </w:trPr>
              <w:tc>
                <w:tcPr>
                  <w:tcW w:w="1350" w:type="dxa"/>
                  <w:tcBorders>
                    <w:top w:val="nil"/>
                    <w:left w:val="nil"/>
                    <w:bottom w:val="nil"/>
                    <w:right w:val="nil"/>
                  </w:tcBorders>
                  <w:shd w:val="clear" w:color="000000" w:fill="FCD5B4"/>
                  <w:noWrap/>
                  <w:vAlign w:val="center"/>
                  <w:hideMark/>
                </w:tcPr>
                <w:p w14:paraId="72781894"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0453E5D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CD5B4"/>
                  <w:noWrap/>
                  <w:vAlign w:val="center"/>
                  <w:hideMark/>
                </w:tcPr>
                <w:p w14:paraId="21A46D1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-5.0 </w:t>
                  </w:r>
                </w:p>
              </w:tc>
              <w:tc>
                <w:tcPr>
                  <w:tcW w:w="921" w:type="dxa"/>
                  <w:tcBorders>
                    <w:top w:val="nil"/>
                    <w:left w:val="nil"/>
                    <w:bottom w:val="single" w:sz="8" w:space="0" w:color="FFFFFF"/>
                    <w:right w:val="single" w:sz="8" w:space="0" w:color="FFFFFF"/>
                  </w:tcBorders>
                  <w:shd w:val="clear" w:color="000000" w:fill="FCD5B4"/>
                  <w:noWrap/>
                  <w:vAlign w:val="center"/>
                  <w:hideMark/>
                </w:tcPr>
                <w:p w14:paraId="3BFA40A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-2.0 </w:t>
                  </w:r>
                </w:p>
              </w:tc>
              <w:tc>
                <w:tcPr>
                  <w:tcW w:w="921" w:type="dxa"/>
                  <w:tcBorders>
                    <w:top w:val="nil"/>
                    <w:left w:val="nil"/>
                    <w:bottom w:val="single" w:sz="8" w:space="0" w:color="FFFFFF"/>
                    <w:right w:val="single" w:sz="8" w:space="0" w:color="FFFFFF"/>
                  </w:tcBorders>
                  <w:shd w:val="clear" w:color="000000" w:fill="FCD5B4"/>
                  <w:noWrap/>
                  <w:vAlign w:val="center"/>
                  <w:hideMark/>
                </w:tcPr>
                <w:p w14:paraId="0A9042E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2.0 </w:t>
                  </w:r>
                </w:p>
              </w:tc>
              <w:tc>
                <w:tcPr>
                  <w:tcW w:w="1157" w:type="dxa"/>
                  <w:tcBorders>
                    <w:top w:val="nil"/>
                    <w:left w:val="nil"/>
                    <w:bottom w:val="nil"/>
                    <w:right w:val="nil"/>
                  </w:tcBorders>
                  <w:shd w:val="clear" w:color="000000" w:fill="FCD5B4"/>
                  <w:noWrap/>
                  <w:vAlign w:val="center"/>
                  <w:hideMark/>
                </w:tcPr>
                <w:p w14:paraId="5B6477A1"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384E4D2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1.2 </w:t>
                  </w:r>
                </w:p>
              </w:tc>
              <w:tc>
                <w:tcPr>
                  <w:tcW w:w="921" w:type="dxa"/>
                  <w:tcBorders>
                    <w:top w:val="nil"/>
                    <w:left w:val="nil"/>
                    <w:bottom w:val="single" w:sz="8" w:space="0" w:color="FFFFFF"/>
                    <w:right w:val="single" w:sz="8" w:space="0" w:color="FFFFFF"/>
                  </w:tcBorders>
                  <w:shd w:val="clear" w:color="000000" w:fill="FCD5B4"/>
                  <w:noWrap/>
                  <w:vAlign w:val="center"/>
                  <w:hideMark/>
                </w:tcPr>
                <w:p w14:paraId="2EF2C01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FF0000"/>
                      <w:kern w:val="0"/>
                      <w:szCs w:val="21"/>
                    </w:rPr>
                    <w:t xml:space="preserve">-0.8 </w:t>
                  </w:r>
                </w:p>
              </w:tc>
              <w:tc>
                <w:tcPr>
                  <w:tcW w:w="921" w:type="dxa"/>
                  <w:tcBorders>
                    <w:top w:val="nil"/>
                    <w:left w:val="nil"/>
                    <w:bottom w:val="single" w:sz="8" w:space="0" w:color="FFFFFF"/>
                    <w:right w:val="single" w:sz="8" w:space="0" w:color="FFFFFF"/>
                  </w:tcBorders>
                  <w:shd w:val="clear" w:color="000000" w:fill="FCD5B4"/>
                  <w:noWrap/>
                  <w:vAlign w:val="center"/>
                  <w:hideMark/>
                </w:tcPr>
                <w:p w14:paraId="31BEF90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2.2 </w:t>
                  </w:r>
                </w:p>
              </w:tc>
              <w:tc>
                <w:tcPr>
                  <w:tcW w:w="921" w:type="dxa"/>
                  <w:tcBorders>
                    <w:top w:val="nil"/>
                    <w:left w:val="nil"/>
                    <w:bottom w:val="single" w:sz="8" w:space="0" w:color="FFFFFF"/>
                    <w:right w:val="single" w:sz="8" w:space="0" w:color="FFFFFF"/>
                  </w:tcBorders>
                  <w:shd w:val="clear" w:color="000000" w:fill="FCD5B4"/>
                  <w:noWrap/>
                  <w:vAlign w:val="center"/>
                  <w:hideMark/>
                </w:tcPr>
                <w:p w14:paraId="066586B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 xml:space="preserve">6.2 </w:t>
                  </w:r>
                </w:p>
              </w:tc>
            </w:tr>
            <w:tr w:rsidR="0077705A" w:rsidRPr="0077705A" w14:paraId="19036B75" w14:textId="77777777" w:rsidTr="0077705A">
              <w:trPr>
                <w:trHeight w:val="150"/>
              </w:trPr>
              <w:tc>
                <w:tcPr>
                  <w:tcW w:w="1350" w:type="dxa"/>
                  <w:tcBorders>
                    <w:top w:val="nil"/>
                    <w:left w:val="nil"/>
                    <w:bottom w:val="nil"/>
                    <w:right w:val="nil"/>
                  </w:tcBorders>
                  <w:shd w:val="clear" w:color="auto" w:fill="auto"/>
                  <w:noWrap/>
                  <w:vAlign w:val="center"/>
                  <w:hideMark/>
                </w:tcPr>
                <w:p w14:paraId="6F0C2004" w14:textId="77777777" w:rsidR="0077705A" w:rsidRPr="0077705A" w:rsidRDefault="0077705A" w:rsidP="0077705A">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3F352E91"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64846EA"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DD581D5"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2E2A7EA" w14:textId="77777777" w:rsidR="0077705A" w:rsidRPr="0077705A" w:rsidRDefault="0077705A" w:rsidP="0077705A">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1C508630"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838B288"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225F61B"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55F3676" w14:textId="77777777" w:rsidR="0077705A" w:rsidRPr="0077705A" w:rsidRDefault="0077705A" w:rsidP="0077705A">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0B91FBD" w14:textId="77777777" w:rsidR="0077705A" w:rsidRPr="0077705A" w:rsidRDefault="0077705A" w:rsidP="0077705A">
                  <w:pPr>
                    <w:widowControl/>
                    <w:jc w:val="center"/>
                    <w:rPr>
                      <w:rFonts w:ascii="Times New Roman" w:eastAsia="Times New Roman" w:hAnsi="Times New Roman"/>
                      <w:kern w:val="0"/>
                      <w:sz w:val="20"/>
                      <w:szCs w:val="20"/>
                    </w:rPr>
                  </w:pPr>
                </w:p>
              </w:tc>
            </w:tr>
            <w:tr w:rsidR="0077705A" w:rsidRPr="0077705A" w14:paraId="2DAB2391" w14:textId="77777777" w:rsidTr="0077705A">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333E1A28"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707E4246"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6C17E27"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811686C"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EDFD14D"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3B6D3730"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67EAF976"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C711994"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9EF2A51"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7374050" w14:textId="77777777" w:rsidR="0077705A" w:rsidRPr="0077705A" w:rsidRDefault="0077705A" w:rsidP="0077705A">
                  <w:pPr>
                    <w:widowControl/>
                    <w:jc w:val="center"/>
                    <w:rPr>
                      <w:rFonts w:ascii="楷体" w:eastAsia="楷体" w:hAnsi="楷体" w:cs="宋体"/>
                      <w:b/>
                      <w:bCs/>
                      <w:color w:val="FFFFFF"/>
                      <w:kern w:val="0"/>
                      <w:sz w:val="20"/>
                      <w:szCs w:val="20"/>
                    </w:rPr>
                  </w:pPr>
                  <w:r w:rsidRPr="0077705A">
                    <w:rPr>
                      <w:rFonts w:ascii="楷体" w:eastAsia="楷体" w:hAnsi="楷体" w:cs="宋体" w:hint="eastAsia"/>
                      <w:b/>
                      <w:bCs/>
                      <w:color w:val="FFFFFF"/>
                      <w:kern w:val="0"/>
                      <w:sz w:val="20"/>
                      <w:szCs w:val="20"/>
                    </w:rPr>
                    <w:t>AA-</w:t>
                  </w:r>
                </w:p>
              </w:tc>
            </w:tr>
            <w:tr w:rsidR="0077705A" w:rsidRPr="0077705A" w14:paraId="5F5CC65B" w14:textId="77777777" w:rsidTr="0077705A">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198037BD"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66E6FAC4"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29%</w:t>
                  </w:r>
                </w:p>
              </w:tc>
              <w:tc>
                <w:tcPr>
                  <w:tcW w:w="921" w:type="dxa"/>
                  <w:tcBorders>
                    <w:top w:val="nil"/>
                    <w:left w:val="nil"/>
                    <w:bottom w:val="single" w:sz="8" w:space="0" w:color="FFFFFF"/>
                    <w:right w:val="single" w:sz="8" w:space="0" w:color="FFFFFF"/>
                  </w:tcBorders>
                  <w:shd w:val="clear" w:color="000000" w:fill="FCD5B4"/>
                  <w:noWrap/>
                  <w:vAlign w:val="center"/>
                  <w:hideMark/>
                </w:tcPr>
                <w:p w14:paraId="462F1861"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CD5B4"/>
                  <w:noWrap/>
                  <w:vAlign w:val="center"/>
                  <w:hideMark/>
                </w:tcPr>
                <w:p w14:paraId="17C71FA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36%</w:t>
                  </w:r>
                </w:p>
              </w:tc>
              <w:tc>
                <w:tcPr>
                  <w:tcW w:w="921" w:type="dxa"/>
                  <w:tcBorders>
                    <w:top w:val="nil"/>
                    <w:left w:val="nil"/>
                    <w:bottom w:val="single" w:sz="8" w:space="0" w:color="FFFFFF"/>
                    <w:right w:val="single" w:sz="8" w:space="0" w:color="FFFFFF"/>
                  </w:tcBorders>
                  <w:shd w:val="clear" w:color="000000" w:fill="FCD5B4"/>
                  <w:noWrap/>
                  <w:vAlign w:val="center"/>
                  <w:hideMark/>
                </w:tcPr>
                <w:p w14:paraId="4D15F80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68%</w:t>
                  </w:r>
                </w:p>
              </w:tc>
              <w:tc>
                <w:tcPr>
                  <w:tcW w:w="1157" w:type="dxa"/>
                  <w:tcBorders>
                    <w:top w:val="nil"/>
                    <w:left w:val="nil"/>
                    <w:bottom w:val="single" w:sz="8" w:space="0" w:color="FFFFFF"/>
                    <w:right w:val="single" w:sz="8" w:space="0" w:color="FFFFFF"/>
                  </w:tcBorders>
                  <w:shd w:val="clear" w:color="000000" w:fill="FCD5B4"/>
                  <w:noWrap/>
                  <w:vAlign w:val="center"/>
                  <w:hideMark/>
                </w:tcPr>
                <w:p w14:paraId="5ED9CEE8"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64E37F5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0699C78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5488A7D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199AB6A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75%</w:t>
                  </w:r>
                </w:p>
              </w:tc>
            </w:tr>
            <w:tr w:rsidR="0077705A" w:rsidRPr="0077705A" w14:paraId="0385839E"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5326DAD"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lastRenderedPageBreak/>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7AA6267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DE9D9"/>
                  <w:noWrap/>
                  <w:vAlign w:val="center"/>
                  <w:hideMark/>
                </w:tcPr>
                <w:p w14:paraId="531D976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DE9D9"/>
                  <w:noWrap/>
                  <w:vAlign w:val="center"/>
                  <w:hideMark/>
                </w:tcPr>
                <w:p w14:paraId="314699B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36%</w:t>
                  </w:r>
                </w:p>
              </w:tc>
              <w:tc>
                <w:tcPr>
                  <w:tcW w:w="921" w:type="dxa"/>
                  <w:tcBorders>
                    <w:top w:val="nil"/>
                    <w:left w:val="nil"/>
                    <w:bottom w:val="single" w:sz="8" w:space="0" w:color="FFFFFF"/>
                    <w:right w:val="single" w:sz="8" w:space="0" w:color="FFFFFF"/>
                  </w:tcBorders>
                  <w:shd w:val="clear" w:color="000000" w:fill="FDE9D9"/>
                  <w:noWrap/>
                  <w:vAlign w:val="center"/>
                  <w:hideMark/>
                </w:tcPr>
                <w:p w14:paraId="7C84FED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71%</w:t>
                  </w:r>
                </w:p>
              </w:tc>
              <w:tc>
                <w:tcPr>
                  <w:tcW w:w="1157" w:type="dxa"/>
                  <w:tcBorders>
                    <w:top w:val="nil"/>
                    <w:left w:val="nil"/>
                    <w:bottom w:val="single" w:sz="8" w:space="0" w:color="FFFFFF"/>
                    <w:right w:val="single" w:sz="8" w:space="0" w:color="FFFFFF"/>
                  </w:tcBorders>
                  <w:shd w:val="clear" w:color="000000" w:fill="FDE9D9"/>
                  <w:noWrap/>
                  <w:vAlign w:val="center"/>
                  <w:hideMark/>
                </w:tcPr>
                <w:p w14:paraId="15325342"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46B0BEE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0598790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4568354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26%</w:t>
                  </w:r>
                </w:p>
              </w:tc>
              <w:tc>
                <w:tcPr>
                  <w:tcW w:w="921" w:type="dxa"/>
                  <w:tcBorders>
                    <w:top w:val="nil"/>
                    <w:left w:val="nil"/>
                    <w:bottom w:val="single" w:sz="8" w:space="0" w:color="FFFFFF"/>
                    <w:right w:val="single" w:sz="8" w:space="0" w:color="FFFFFF"/>
                  </w:tcBorders>
                  <w:shd w:val="clear" w:color="000000" w:fill="FFC7CE"/>
                  <w:noWrap/>
                  <w:vAlign w:val="center"/>
                  <w:hideMark/>
                </w:tcPr>
                <w:p w14:paraId="49D17515" w14:textId="77777777" w:rsidR="0077705A" w:rsidRPr="0077705A" w:rsidRDefault="0077705A" w:rsidP="0077705A">
                  <w:pPr>
                    <w:widowControl/>
                    <w:jc w:val="center"/>
                    <w:rPr>
                      <w:rFonts w:eastAsia="等线" w:cs="Calibri"/>
                      <w:color w:val="9C0006"/>
                      <w:kern w:val="0"/>
                      <w:szCs w:val="21"/>
                    </w:rPr>
                  </w:pPr>
                  <w:r w:rsidRPr="0077705A">
                    <w:rPr>
                      <w:rFonts w:eastAsia="等线" w:cs="Calibri"/>
                      <w:color w:val="9C0006"/>
                      <w:kern w:val="0"/>
                      <w:szCs w:val="21"/>
                    </w:rPr>
                    <w:t>85%</w:t>
                  </w:r>
                </w:p>
              </w:tc>
            </w:tr>
            <w:tr w:rsidR="0077705A" w:rsidRPr="0077705A" w14:paraId="0830FDDF" w14:textId="77777777" w:rsidTr="0077705A">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41707D6"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7294627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4193A67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5865CE5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CD5B4"/>
                  <w:noWrap/>
                  <w:vAlign w:val="center"/>
                  <w:hideMark/>
                </w:tcPr>
                <w:p w14:paraId="54A8BDE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61%</w:t>
                  </w:r>
                </w:p>
              </w:tc>
              <w:tc>
                <w:tcPr>
                  <w:tcW w:w="1157" w:type="dxa"/>
                  <w:tcBorders>
                    <w:top w:val="nil"/>
                    <w:left w:val="nil"/>
                    <w:bottom w:val="single" w:sz="8" w:space="0" w:color="FFFFFF"/>
                    <w:right w:val="single" w:sz="8" w:space="0" w:color="FFFFFF"/>
                  </w:tcBorders>
                  <w:shd w:val="clear" w:color="000000" w:fill="FCD5B4"/>
                  <w:noWrap/>
                  <w:vAlign w:val="center"/>
                  <w:hideMark/>
                </w:tcPr>
                <w:p w14:paraId="688A6E3B"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21B3BE6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079D322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3499610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7B2CFE9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65%</w:t>
                  </w:r>
                </w:p>
              </w:tc>
            </w:tr>
            <w:tr w:rsidR="0077705A" w:rsidRPr="0077705A" w14:paraId="762D97C2"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A87FAE6"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DB12DC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DE9D9"/>
                  <w:noWrap/>
                  <w:vAlign w:val="center"/>
                  <w:hideMark/>
                </w:tcPr>
                <w:p w14:paraId="01373964"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27%</w:t>
                  </w:r>
                </w:p>
              </w:tc>
              <w:tc>
                <w:tcPr>
                  <w:tcW w:w="921" w:type="dxa"/>
                  <w:tcBorders>
                    <w:top w:val="nil"/>
                    <w:left w:val="nil"/>
                    <w:bottom w:val="single" w:sz="8" w:space="0" w:color="FFFFFF"/>
                    <w:right w:val="single" w:sz="8" w:space="0" w:color="FFFFFF"/>
                  </w:tcBorders>
                  <w:shd w:val="clear" w:color="000000" w:fill="FDE9D9"/>
                  <w:noWrap/>
                  <w:vAlign w:val="center"/>
                  <w:hideMark/>
                </w:tcPr>
                <w:p w14:paraId="3EA166F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31%</w:t>
                  </w:r>
                </w:p>
              </w:tc>
              <w:tc>
                <w:tcPr>
                  <w:tcW w:w="921" w:type="dxa"/>
                  <w:tcBorders>
                    <w:top w:val="nil"/>
                    <w:left w:val="nil"/>
                    <w:bottom w:val="single" w:sz="8" w:space="0" w:color="FFFFFF"/>
                    <w:right w:val="single" w:sz="8" w:space="0" w:color="FFFFFF"/>
                  </w:tcBorders>
                  <w:shd w:val="clear" w:color="000000" w:fill="FDE9D9"/>
                  <w:noWrap/>
                  <w:vAlign w:val="center"/>
                  <w:hideMark/>
                </w:tcPr>
                <w:p w14:paraId="50F860C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67%</w:t>
                  </w:r>
                </w:p>
              </w:tc>
              <w:tc>
                <w:tcPr>
                  <w:tcW w:w="1157" w:type="dxa"/>
                  <w:tcBorders>
                    <w:top w:val="nil"/>
                    <w:left w:val="nil"/>
                    <w:bottom w:val="single" w:sz="8" w:space="0" w:color="FFFFFF"/>
                    <w:right w:val="single" w:sz="8" w:space="0" w:color="FFFFFF"/>
                  </w:tcBorders>
                  <w:shd w:val="clear" w:color="000000" w:fill="FDE9D9"/>
                  <w:noWrap/>
                  <w:vAlign w:val="center"/>
                  <w:hideMark/>
                </w:tcPr>
                <w:p w14:paraId="63A4D2E8"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453C05B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2AB42BDA"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5D03130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59FDBC4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76%</w:t>
                  </w:r>
                </w:p>
              </w:tc>
            </w:tr>
            <w:tr w:rsidR="0077705A" w:rsidRPr="0077705A" w14:paraId="7E99C7DB" w14:textId="77777777" w:rsidTr="0077705A">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4E23D9BF"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5065605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5C2E797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7DF5E3F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5D36E3C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51%</w:t>
                  </w:r>
                </w:p>
              </w:tc>
              <w:tc>
                <w:tcPr>
                  <w:tcW w:w="1157" w:type="dxa"/>
                  <w:tcBorders>
                    <w:top w:val="nil"/>
                    <w:left w:val="nil"/>
                    <w:bottom w:val="single" w:sz="8" w:space="0" w:color="FFFFFF"/>
                    <w:right w:val="single" w:sz="8" w:space="0" w:color="FFFFFF"/>
                  </w:tcBorders>
                  <w:shd w:val="clear" w:color="000000" w:fill="FCD5B4"/>
                  <w:noWrap/>
                  <w:vAlign w:val="center"/>
                  <w:hideMark/>
                </w:tcPr>
                <w:p w14:paraId="1DCE1980"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06B4F7C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67934511"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CD5B4"/>
                  <w:noWrap/>
                  <w:vAlign w:val="center"/>
                  <w:hideMark/>
                </w:tcPr>
                <w:p w14:paraId="17CD95F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44FED0B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52%</w:t>
                  </w:r>
                </w:p>
              </w:tc>
            </w:tr>
            <w:tr w:rsidR="0077705A" w:rsidRPr="0077705A" w14:paraId="526ACA8E"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C95126B"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DF0886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7FAEE40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736E312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DE9D9"/>
                  <w:noWrap/>
                  <w:vAlign w:val="center"/>
                  <w:hideMark/>
                </w:tcPr>
                <w:p w14:paraId="6561E011"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39%</w:t>
                  </w:r>
                </w:p>
              </w:tc>
              <w:tc>
                <w:tcPr>
                  <w:tcW w:w="1157" w:type="dxa"/>
                  <w:tcBorders>
                    <w:top w:val="nil"/>
                    <w:left w:val="nil"/>
                    <w:bottom w:val="single" w:sz="8" w:space="0" w:color="FFFFFF"/>
                    <w:right w:val="single" w:sz="8" w:space="0" w:color="FFFFFF"/>
                  </w:tcBorders>
                  <w:shd w:val="clear" w:color="000000" w:fill="FDE9D9"/>
                  <w:noWrap/>
                  <w:vAlign w:val="center"/>
                  <w:hideMark/>
                </w:tcPr>
                <w:p w14:paraId="76DDE016" w14:textId="77777777" w:rsidR="0077705A" w:rsidRPr="0077705A" w:rsidRDefault="0077705A" w:rsidP="0077705A">
                  <w:pPr>
                    <w:widowControl/>
                    <w:jc w:val="center"/>
                    <w:rPr>
                      <w:rFonts w:ascii="楷体" w:eastAsia="楷体" w:hAnsi="楷体" w:cs="宋体"/>
                      <w:color w:val="000000"/>
                      <w:kern w:val="0"/>
                      <w:sz w:val="20"/>
                      <w:szCs w:val="20"/>
                    </w:rPr>
                  </w:pPr>
                  <w:r w:rsidRPr="0077705A">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38EAAC1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1DD9EC1E"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DE9D9"/>
                  <w:noWrap/>
                  <w:vAlign w:val="center"/>
                  <w:hideMark/>
                </w:tcPr>
                <w:p w14:paraId="4C43FFFB"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DE9D9"/>
                  <w:noWrap/>
                  <w:vAlign w:val="center"/>
                  <w:hideMark/>
                </w:tcPr>
                <w:p w14:paraId="67C02C2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39%</w:t>
                  </w:r>
                </w:p>
              </w:tc>
            </w:tr>
            <w:tr w:rsidR="0077705A" w:rsidRPr="0077705A" w14:paraId="28154585" w14:textId="77777777" w:rsidTr="0077705A">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5E98320"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A583EC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26%</w:t>
                  </w:r>
                </w:p>
              </w:tc>
              <w:tc>
                <w:tcPr>
                  <w:tcW w:w="921" w:type="dxa"/>
                  <w:tcBorders>
                    <w:top w:val="nil"/>
                    <w:left w:val="nil"/>
                    <w:bottom w:val="single" w:sz="8" w:space="0" w:color="FFFFFF"/>
                    <w:right w:val="single" w:sz="8" w:space="0" w:color="FFFFFF"/>
                  </w:tcBorders>
                  <w:shd w:val="clear" w:color="000000" w:fill="FCD5B4"/>
                  <w:noWrap/>
                  <w:vAlign w:val="center"/>
                  <w:hideMark/>
                </w:tcPr>
                <w:p w14:paraId="366D8EE5"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CD5B4"/>
                  <w:noWrap/>
                  <w:vAlign w:val="center"/>
                  <w:hideMark/>
                </w:tcPr>
                <w:p w14:paraId="240FB3E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CD5B4"/>
                  <w:noWrap/>
                  <w:vAlign w:val="center"/>
                  <w:hideMark/>
                </w:tcPr>
                <w:p w14:paraId="0976183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70%</w:t>
                  </w:r>
                </w:p>
              </w:tc>
              <w:tc>
                <w:tcPr>
                  <w:tcW w:w="1157" w:type="dxa"/>
                  <w:tcBorders>
                    <w:top w:val="nil"/>
                    <w:left w:val="nil"/>
                    <w:bottom w:val="single" w:sz="8" w:space="0" w:color="FFFFFF"/>
                    <w:right w:val="single" w:sz="8" w:space="0" w:color="FFFFFF"/>
                  </w:tcBorders>
                  <w:shd w:val="clear" w:color="000000" w:fill="FCD5B4"/>
                  <w:noWrap/>
                  <w:vAlign w:val="center"/>
                  <w:hideMark/>
                </w:tcPr>
                <w:p w14:paraId="128BA14B"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11B76D4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44E7E4A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CD5B4"/>
                  <w:noWrap/>
                  <w:vAlign w:val="center"/>
                  <w:hideMark/>
                </w:tcPr>
                <w:p w14:paraId="0F3BCCC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042C0700"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79%</w:t>
                  </w:r>
                </w:p>
              </w:tc>
            </w:tr>
            <w:tr w:rsidR="0077705A" w:rsidRPr="0077705A" w14:paraId="4696FEA7" w14:textId="77777777" w:rsidTr="0077705A">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318D3D6"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7A838E6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23FA370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DE9D9"/>
                  <w:noWrap/>
                  <w:vAlign w:val="center"/>
                  <w:hideMark/>
                </w:tcPr>
                <w:p w14:paraId="511E7B22"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DE9D9"/>
                  <w:noWrap/>
                  <w:vAlign w:val="center"/>
                  <w:hideMark/>
                </w:tcPr>
                <w:p w14:paraId="1966B4E6"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79%</w:t>
                  </w:r>
                </w:p>
              </w:tc>
              <w:tc>
                <w:tcPr>
                  <w:tcW w:w="1157" w:type="dxa"/>
                  <w:tcBorders>
                    <w:top w:val="nil"/>
                    <w:left w:val="nil"/>
                    <w:bottom w:val="single" w:sz="8" w:space="0" w:color="FFFFFF"/>
                    <w:right w:val="single" w:sz="8" w:space="0" w:color="FFFFFF"/>
                  </w:tcBorders>
                  <w:shd w:val="clear" w:color="000000" w:fill="FDE9D9"/>
                  <w:noWrap/>
                  <w:vAlign w:val="center"/>
                  <w:hideMark/>
                </w:tcPr>
                <w:p w14:paraId="1436A477"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0F501298"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0DE60EE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4DD5E0BF"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FC7CE"/>
                  <w:noWrap/>
                  <w:vAlign w:val="center"/>
                  <w:hideMark/>
                </w:tcPr>
                <w:p w14:paraId="211BE7C4" w14:textId="77777777" w:rsidR="0077705A" w:rsidRPr="0077705A" w:rsidRDefault="0077705A" w:rsidP="0077705A">
                  <w:pPr>
                    <w:widowControl/>
                    <w:jc w:val="center"/>
                    <w:rPr>
                      <w:rFonts w:eastAsia="等线" w:cs="Calibri"/>
                      <w:color w:val="9C0006"/>
                      <w:kern w:val="0"/>
                      <w:szCs w:val="21"/>
                    </w:rPr>
                  </w:pPr>
                  <w:r w:rsidRPr="0077705A">
                    <w:rPr>
                      <w:rFonts w:eastAsia="等线" w:cs="Calibri"/>
                      <w:color w:val="9C0006"/>
                      <w:kern w:val="0"/>
                      <w:szCs w:val="21"/>
                    </w:rPr>
                    <w:t>87%</w:t>
                  </w:r>
                </w:p>
              </w:tc>
            </w:tr>
            <w:tr w:rsidR="0077705A" w:rsidRPr="0077705A" w14:paraId="3A87C474" w14:textId="77777777" w:rsidTr="0077705A">
              <w:trPr>
                <w:trHeight w:val="300"/>
              </w:trPr>
              <w:tc>
                <w:tcPr>
                  <w:tcW w:w="1350" w:type="dxa"/>
                  <w:tcBorders>
                    <w:top w:val="nil"/>
                    <w:left w:val="nil"/>
                    <w:bottom w:val="nil"/>
                    <w:right w:val="nil"/>
                  </w:tcBorders>
                  <w:shd w:val="clear" w:color="000000" w:fill="FCD5B4"/>
                  <w:noWrap/>
                  <w:vAlign w:val="center"/>
                  <w:hideMark/>
                </w:tcPr>
                <w:p w14:paraId="29B42C34"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0010911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CD5B4"/>
                  <w:noWrap/>
                  <w:vAlign w:val="center"/>
                  <w:hideMark/>
                </w:tcPr>
                <w:p w14:paraId="169A32A3"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34955B8D"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60E60A87"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72%</w:t>
                  </w:r>
                </w:p>
              </w:tc>
              <w:tc>
                <w:tcPr>
                  <w:tcW w:w="1157" w:type="dxa"/>
                  <w:tcBorders>
                    <w:top w:val="nil"/>
                    <w:left w:val="nil"/>
                    <w:bottom w:val="nil"/>
                    <w:right w:val="nil"/>
                  </w:tcBorders>
                  <w:shd w:val="clear" w:color="000000" w:fill="FCD5B4"/>
                  <w:noWrap/>
                  <w:vAlign w:val="center"/>
                  <w:hideMark/>
                </w:tcPr>
                <w:p w14:paraId="742ED0A8" w14:textId="77777777" w:rsidR="0077705A" w:rsidRPr="0077705A" w:rsidRDefault="0077705A" w:rsidP="0077705A">
                  <w:pPr>
                    <w:widowControl/>
                    <w:jc w:val="center"/>
                    <w:rPr>
                      <w:rFonts w:ascii="楷体" w:eastAsia="楷体" w:hAnsi="楷体" w:cs="宋体"/>
                      <w:color w:val="000000"/>
                      <w:kern w:val="0"/>
                      <w:sz w:val="20"/>
                      <w:szCs w:val="20"/>
                    </w:rPr>
                  </w:pPr>
                  <w:proofErr w:type="gramStart"/>
                  <w:r w:rsidRPr="0077705A">
                    <w:rPr>
                      <w:rFonts w:ascii="楷体" w:eastAsia="楷体" w:hAnsi="楷体" w:cs="宋体" w:hint="eastAsia"/>
                      <w:color w:val="000000"/>
                      <w:kern w:val="0"/>
                      <w:sz w:val="20"/>
                      <w:szCs w:val="20"/>
                    </w:rPr>
                    <w:t>城投债</w:t>
                  </w:r>
                  <w:proofErr w:type="gramEnd"/>
                  <w:r w:rsidRPr="0077705A">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4307A149"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16C348DC"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5CCEE381" w14:textId="77777777" w:rsidR="0077705A" w:rsidRPr="0077705A" w:rsidRDefault="0077705A" w:rsidP="0077705A">
                  <w:pPr>
                    <w:widowControl/>
                    <w:jc w:val="center"/>
                    <w:rPr>
                      <w:rFonts w:eastAsia="等线" w:cs="Calibri"/>
                      <w:color w:val="000000"/>
                      <w:kern w:val="0"/>
                      <w:szCs w:val="21"/>
                    </w:rPr>
                  </w:pPr>
                  <w:r w:rsidRPr="0077705A">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FC7CE"/>
                  <w:noWrap/>
                  <w:vAlign w:val="center"/>
                  <w:hideMark/>
                </w:tcPr>
                <w:p w14:paraId="07FAC5ED" w14:textId="77777777" w:rsidR="0077705A" w:rsidRPr="0077705A" w:rsidRDefault="0077705A" w:rsidP="0077705A">
                  <w:pPr>
                    <w:widowControl/>
                    <w:jc w:val="center"/>
                    <w:rPr>
                      <w:rFonts w:eastAsia="等线" w:cs="Calibri"/>
                      <w:color w:val="9C0006"/>
                      <w:kern w:val="0"/>
                      <w:szCs w:val="21"/>
                    </w:rPr>
                  </w:pPr>
                  <w:r w:rsidRPr="0077705A">
                    <w:rPr>
                      <w:rFonts w:eastAsia="等线" w:cs="Calibri"/>
                      <w:color w:val="9C0006"/>
                      <w:kern w:val="0"/>
                      <w:szCs w:val="21"/>
                    </w:rPr>
                    <w:t>82%</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3675463C"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DE343B" w:rsidRPr="00DE343B">
        <w:rPr>
          <w:rFonts w:ascii="华文楷体" w:hAnsi="华文楷体" w:hint="eastAsia"/>
          <w:sz w:val="24"/>
          <w:szCs w:val="24"/>
          <w:lang w:eastAsia="zh-CN"/>
        </w:rPr>
        <w:t>除中证500和中证1000指数微涨，其他主要板块微跌，成交量均呈现不同程度萎缩。</w:t>
      </w:r>
      <w:r>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FA1470">
        <w:rPr>
          <w:rFonts w:ascii="华文楷体" w:hAnsi="华文楷体" w:hint="eastAsia"/>
          <w:sz w:val="24"/>
          <w:szCs w:val="24"/>
          <w:lang w:eastAsia="zh-CN"/>
        </w:rPr>
        <w:t>，</w:t>
      </w:r>
      <w:r w:rsidR="00DE343B">
        <w:rPr>
          <w:rFonts w:ascii="华文楷体" w:hAnsi="华文楷体" w:hint="eastAsia"/>
          <w:sz w:val="24"/>
          <w:szCs w:val="24"/>
          <w:lang w:eastAsia="zh-CN"/>
        </w:rPr>
        <w:t>伴随</w:t>
      </w:r>
      <w:r w:rsidR="00DE343B" w:rsidRPr="00DE343B">
        <w:rPr>
          <w:rFonts w:ascii="华文楷体" w:hAnsi="华文楷体" w:hint="eastAsia"/>
          <w:sz w:val="24"/>
          <w:szCs w:val="24"/>
          <w:lang w:eastAsia="zh-CN"/>
        </w:rPr>
        <w:t>A</w:t>
      </w:r>
      <w:r w:rsidR="00DE343B">
        <w:rPr>
          <w:rFonts w:ascii="华文楷体" w:hAnsi="华文楷体" w:hint="eastAsia"/>
          <w:sz w:val="24"/>
          <w:szCs w:val="24"/>
          <w:lang w:eastAsia="zh-CN"/>
        </w:rPr>
        <w:t>股市场近期</w:t>
      </w:r>
      <w:r w:rsidR="00DE343B" w:rsidRPr="00DE343B">
        <w:rPr>
          <w:rFonts w:ascii="华文楷体" w:hAnsi="华文楷体" w:hint="eastAsia"/>
          <w:sz w:val="24"/>
          <w:szCs w:val="24"/>
          <w:lang w:eastAsia="zh-CN"/>
        </w:rPr>
        <w:t>处于调整行情之中，转债表现相对略好</w:t>
      </w:r>
      <w:r w:rsidR="00DE343B">
        <w:rPr>
          <w:rFonts w:ascii="华文楷体" w:hAnsi="华文楷体" w:hint="eastAsia"/>
          <w:sz w:val="24"/>
          <w:szCs w:val="24"/>
          <w:lang w:eastAsia="zh-CN"/>
        </w:rPr>
        <w:t>，体现一定对冲作用。</w:t>
      </w:r>
      <w:r w:rsidR="00DE343B" w:rsidRPr="00DE343B">
        <w:rPr>
          <w:rFonts w:ascii="华文楷体" w:hAnsi="华文楷体" w:hint="eastAsia"/>
          <w:sz w:val="24"/>
          <w:szCs w:val="24"/>
          <w:lang w:eastAsia="zh-CN"/>
        </w:rPr>
        <w:t>关注低估值转债配置机会及新能源</w:t>
      </w:r>
      <w:r w:rsidR="00DE343B">
        <w:rPr>
          <w:rFonts w:ascii="华文楷体" w:hAnsi="华文楷体" w:hint="eastAsia"/>
          <w:sz w:val="24"/>
          <w:szCs w:val="24"/>
          <w:lang w:eastAsia="zh-CN"/>
        </w:rPr>
        <w:t>、环保、科技、消费等相关板块正股对应的政策相对更支持的转债</w:t>
      </w:r>
      <w:proofErr w:type="gramStart"/>
      <w:r w:rsidR="00DE343B">
        <w:rPr>
          <w:rFonts w:ascii="华文楷体" w:hAnsi="华文楷体" w:hint="eastAsia"/>
          <w:sz w:val="24"/>
          <w:szCs w:val="24"/>
          <w:lang w:eastAsia="zh-CN"/>
        </w:rPr>
        <w:t>个券</w:t>
      </w:r>
      <w:proofErr w:type="gramEnd"/>
      <w:r w:rsidR="00DE343B">
        <w:rPr>
          <w:rFonts w:ascii="华文楷体" w:hAnsi="华文楷体" w:hint="eastAsia"/>
          <w:sz w:val="24"/>
          <w:szCs w:val="24"/>
          <w:lang w:eastAsia="zh-CN"/>
        </w:rPr>
        <w:t>。</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7077F1">
        <w:rPr>
          <w:rFonts w:ascii="华文楷体" w:hAnsi="华文楷体" w:hint="eastAsia"/>
          <w:sz w:val="24"/>
          <w:szCs w:val="24"/>
          <w:lang w:eastAsia="zh-CN"/>
        </w:rPr>
        <w:t>-</w:t>
      </w:r>
      <w:r w:rsidR="00DE343B">
        <w:rPr>
          <w:rFonts w:ascii="华文楷体" w:hAnsi="华文楷体" w:hint="eastAsia"/>
          <w:sz w:val="24"/>
          <w:szCs w:val="24"/>
          <w:lang w:eastAsia="zh-CN"/>
        </w:rPr>
        <w:t>0.2</w:t>
      </w:r>
      <w:r w:rsidR="00AC28BB">
        <w:rPr>
          <w:rFonts w:ascii="华文楷体" w:hAnsi="华文楷体"/>
          <w:sz w:val="24"/>
          <w:szCs w:val="24"/>
          <w:lang w:eastAsia="zh-CN"/>
        </w:rPr>
        <w:t>%、</w:t>
      </w:r>
      <w:r w:rsidR="007077F1">
        <w:rPr>
          <w:rFonts w:ascii="华文楷体" w:hAnsi="华文楷体" w:hint="eastAsia"/>
          <w:sz w:val="24"/>
          <w:szCs w:val="24"/>
          <w:lang w:eastAsia="zh-CN"/>
        </w:rPr>
        <w:t>-</w:t>
      </w:r>
      <w:r w:rsidR="007077F1">
        <w:rPr>
          <w:rFonts w:ascii="华文楷体" w:hAnsi="华文楷体"/>
          <w:sz w:val="24"/>
          <w:szCs w:val="24"/>
          <w:lang w:eastAsia="zh-CN"/>
        </w:rPr>
        <w:t>1</w:t>
      </w:r>
      <w:r w:rsidR="00DE343B">
        <w:rPr>
          <w:rFonts w:ascii="华文楷体" w:hAnsi="华文楷体" w:hint="eastAsia"/>
          <w:sz w:val="24"/>
          <w:szCs w:val="24"/>
          <w:lang w:eastAsia="zh-CN"/>
        </w:rPr>
        <w:t>.4</w:t>
      </w:r>
      <w:r w:rsidR="00AC28BB">
        <w:rPr>
          <w:rFonts w:ascii="华文楷体" w:hAnsi="华文楷体"/>
          <w:sz w:val="24"/>
          <w:szCs w:val="24"/>
          <w:lang w:eastAsia="zh-CN"/>
        </w:rPr>
        <w:t>%、</w:t>
      </w:r>
      <w:r w:rsidR="005C6F6B">
        <w:rPr>
          <w:rFonts w:ascii="华文楷体" w:hAnsi="华文楷体" w:hint="eastAsia"/>
          <w:sz w:val="24"/>
          <w:szCs w:val="24"/>
          <w:lang w:eastAsia="zh-CN"/>
        </w:rPr>
        <w:t>-</w:t>
      </w:r>
      <w:r w:rsidR="00DE343B">
        <w:rPr>
          <w:rFonts w:ascii="华文楷体" w:hAnsi="华文楷体" w:hint="eastAsia"/>
          <w:sz w:val="24"/>
          <w:szCs w:val="24"/>
          <w:lang w:eastAsia="zh-CN"/>
        </w:rPr>
        <w:t>1.8</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5C6F6B">
        <w:rPr>
          <w:rFonts w:ascii="华文楷体" w:hAnsi="华文楷体" w:hint="eastAsia"/>
          <w:sz w:val="24"/>
          <w:szCs w:val="24"/>
          <w:lang w:eastAsia="zh-CN"/>
        </w:rPr>
        <w:t>-</w:t>
      </w:r>
      <w:r w:rsidR="00DE343B">
        <w:rPr>
          <w:rFonts w:ascii="华文楷体" w:hAnsi="华文楷体" w:hint="eastAsia"/>
          <w:sz w:val="24"/>
          <w:szCs w:val="24"/>
          <w:lang w:eastAsia="zh-CN"/>
        </w:rPr>
        <w:t>1.4</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C22D4">
        <w:rPr>
          <w:rFonts w:ascii="华文楷体" w:hAnsi="华文楷体" w:hint="eastAsia"/>
          <w:sz w:val="24"/>
          <w:szCs w:val="24"/>
          <w:lang w:eastAsia="zh-CN"/>
        </w:rPr>
        <w:t>表现相对较弱</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r w:rsidR="00DE343B" w:rsidRPr="00DE343B">
        <w:rPr>
          <w:rFonts w:ascii="华文楷体" w:hAnsi="华文楷体" w:hint="eastAsia"/>
          <w:sz w:val="24"/>
          <w:szCs w:val="24"/>
          <w:lang w:eastAsia="zh-CN"/>
        </w:rPr>
        <w:t>微</w:t>
      </w:r>
      <w:proofErr w:type="gramEnd"/>
      <w:r w:rsidR="00DE343B" w:rsidRPr="00DE343B">
        <w:rPr>
          <w:rFonts w:ascii="华文楷体" w:hAnsi="华文楷体" w:hint="eastAsia"/>
          <w:sz w:val="24"/>
          <w:szCs w:val="24"/>
          <w:lang w:eastAsia="zh-CN"/>
        </w:rPr>
        <w:t>涨0.5%</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DE343B">
        <w:tblPrEx>
          <w:tblCellMar>
            <w:left w:w="108" w:type="dxa"/>
            <w:right w:w="108" w:type="dxa"/>
          </w:tblCellMar>
        </w:tblPrEx>
        <w:trPr>
          <w:trHeight w:val="2921"/>
          <w:jc w:val="center"/>
        </w:trPr>
        <w:tc>
          <w:tcPr>
            <w:tcW w:w="4939" w:type="dxa"/>
            <w:vAlign w:val="center"/>
          </w:tcPr>
          <w:p w14:paraId="5C83721A" w14:textId="70684686" w:rsidR="00E0626C" w:rsidRPr="00345C30" w:rsidRDefault="0077705A" w:rsidP="00345C30">
            <w:pPr>
              <w:widowControl/>
              <w:jc w:val="left"/>
              <w:rPr>
                <w:rFonts w:ascii="宋体" w:hAnsi="宋体" w:cs="宋体"/>
                <w:kern w:val="0"/>
                <w:sz w:val="24"/>
                <w:szCs w:val="24"/>
              </w:rPr>
            </w:pPr>
            <w:r w:rsidRPr="0077705A">
              <w:rPr>
                <w:rFonts w:ascii="宋体" w:hAnsi="宋体" w:cs="宋体"/>
                <w:noProof/>
                <w:kern w:val="0"/>
                <w:sz w:val="24"/>
                <w:szCs w:val="24"/>
              </w:rPr>
              <w:drawing>
                <wp:inline distT="0" distB="0" distL="0" distR="0" wp14:anchorId="62DBE49D" wp14:editId="1E673BF6">
                  <wp:extent cx="3094330" cy="1894205"/>
                  <wp:effectExtent l="0" t="0" r="0" b="0"/>
                  <wp:docPr id="11" name="图片 11" descr="C:\Users\Tang\AppData\Local\Temp\161512355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15123552(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8323" cy="1915014"/>
                          </a:xfrm>
                          <a:prstGeom prst="rect">
                            <a:avLst/>
                          </a:prstGeom>
                          <a:noFill/>
                          <a:ln>
                            <a:noFill/>
                          </a:ln>
                        </pic:spPr>
                      </pic:pic>
                    </a:graphicData>
                  </a:graphic>
                </wp:inline>
              </w:drawing>
            </w:r>
          </w:p>
        </w:tc>
        <w:tc>
          <w:tcPr>
            <w:tcW w:w="4938" w:type="dxa"/>
            <w:vAlign w:val="center"/>
          </w:tcPr>
          <w:p w14:paraId="39BD4383" w14:textId="3AA5BA22" w:rsidR="00E0626C" w:rsidRPr="007E0340" w:rsidRDefault="00DE343B" w:rsidP="009A2BA0">
            <w:pPr>
              <w:jc w:val="center"/>
              <w:rPr>
                <w:noProof/>
                <w:szCs w:val="18"/>
              </w:rPr>
            </w:pPr>
            <w:r>
              <w:rPr>
                <w:noProof/>
              </w:rPr>
              <w:drawing>
                <wp:inline distT="0" distB="0" distL="0" distR="0" wp14:anchorId="02E27283" wp14:editId="69DF37F4">
                  <wp:extent cx="2998470" cy="1895373"/>
                  <wp:effectExtent l="0" t="0" r="0" b="0"/>
                  <wp:docPr id="16" name="图表 1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735B8943"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A4343E" w:rsidRPr="00A4343E">
        <w:rPr>
          <w:rFonts w:ascii="华文楷体" w:hAnsi="华文楷体" w:hint="eastAsia"/>
          <w:bCs/>
          <w:sz w:val="24"/>
          <w:szCs w:val="24"/>
          <w:lang w:eastAsia="zh-CN"/>
        </w:rPr>
        <w:t>本周主要港口动力煤平均价小幅回升2.49%</w:t>
      </w:r>
      <w:r w:rsidR="00617BC1" w:rsidRPr="00617BC1">
        <w:rPr>
          <w:rFonts w:ascii="华文楷体" w:hAnsi="华文楷体" w:hint="eastAsia"/>
          <w:bCs/>
          <w:sz w:val="24"/>
          <w:szCs w:val="24"/>
          <w:lang w:eastAsia="zh-CN"/>
        </w:rPr>
        <w:t>。</w:t>
      </w:r>
      <w:r w:rsidR="00A4343E" w:rsidRPr="00A4343E">
        <w:rPr>
          <w:rFonts w:ascii="华文楷体" w:hAnsi="华文楷体" w:hint="eastAsia"/>
          <w:bCs/>
          <w:sz w:val="24"/>
          <w:szCs w:val="24"/>
          <w:lang w:eastAsia="zh-CN"/>
        </w:rPr>
        <w:t>PTA产业链负荷率小幅回落。</w:t>
      </w:r>
      <w:proofErr w:type="spellStart"/>
      <w:r w:rsidR="00A4343E" w:rsidRPr="00A4343E">
        <w:rPr>
          <w:rFonts w:ascii="华文楷体" w:hAnsi="华文楷体" w:hint="eastAsia"/>
          <w:bCs/>
          <w:sz w:val="24"/>
          <w:szCs w:val="24"/>
          <w:lang w:eastAsia="zh-CN"/>
        </w:rPr>
        <w:t>Myspic</w:t>
      </w:r>
      <w:proofErr w:type="spellEnd"/>
      <w:r w:rsidR="00A4343E" w:rsidRPr="00A4343E">
        <w:rPr>
          <w:rFonts w:ascii="华文楷体" w:hAnsi="华文楷体" w:hint="eastAsia"/>
          <w:bCs/>
          <w:sz w:val="24"/>
          <w:szCs w:val="24"/>
          <w:lang w:eastAsia="zh-CN"/>
        </w:rPr>
        <w:t>综合全国钢铁价格指数上行1.25%，各类钢材价格也持续攀升，主要品种中，螺纹钢、热卷、高线价格本周分别上涨1.02%、1%、0.94%。从库存来看，螺纹钢、热卷、线材库存呈季节性增</w:t>
      </w:r>
      <w:r w:rsidR="00A4343E" w:rsidRPr="00A4343E">
        <w:rPr>
          <w:rFonts w:ascii="华文楷体" w:hAnsi="华文楷体" w:hint="eastAsia"/>
          <w:bCs/>
          <w:sz w:val="24"/>
          <w:szCs w:val="24"/>
          <w:lang w:eastAsia="zh-CN"/>
        </w:rPr>
        <w:lastRenderedPageBreak/>
        <w:t>加，分别增加6.73%、6.4%、3.25%。中国玻璃综合指数回升2.81%</w:t>
      </w:r>
      <w:r w:rsidR="00A4343E">
        <w:rPr>
          <w:rFonts w:ascii="华文楷体" w:hAnsi="华文楷体" w:hint="eastAsia"/>
          <w:bCs/>
          <w:sz w:val="24"/>
          <w:szCs w:val="24"/>
          <w:lang w:eastAsia="zh-CN"/>
        </w:rPr>
        <w:t>。</w:t>
      </w:r>
    </w:p>
    <w:p w14:paraId="21425444" w14:textId="3B01C471"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A4343E" w:rsidRPr="00A4343E">
        <w:rPr>
          <w:rFonts w:ascii="华文楷体" w:hAnsi="华文楷体" w:hint="eastAsia"/>
          <w:sz w:val="24"/>
          <w:szCs w:val="24"/>
          <w:lang w:eastAsia="zh-CN"/>
        </w:rPr>
        <w:t>本周30大中城市商品房成交</w:t>
      </w:r>
      <w:proofErr w:type="gramStart"/>
      <w:r w:rsidR="00A4343E" w:rsidRPr="00A4343E">
        <w:rPr>
          <w:rFonts w:ascii="华文楷体" w:hAnsi="华文楷体" w:hint="eastAsia"/>
          <w:sz w:val="24"/>
          <w:szCs w:val="24"/>
          <w:lang w:eastAsia="zh-CN"/>
        </w:rPr>
        <w:t>面积环</w:t>
      </w:r>
      <w:proofErr w:type="gramEnd"/>
      <w:r w:rsidR="00A4343E" w:rsidRPr="00A4343E">
        <w:rPr>
          <w:rFonts w:ascii="华文楷体" w:hAnsi="华文楷体" w:hint="eastAsia"/>
          <w:sz w:val="24"/>
          <w:szCs w:val="24"/>
          <w:lang w:eastAsia="zh-CN"/>
        </w:rPr>
        <w:t>比明显回升，增幅达212.83%</w:t>
      </w:r>
      <w:r w:rsidR="00413862">
        <w:rPr>
          <w:rFonts w:ascii="华文楷体" w:hAnsi="华文楷体" w:hint="eastAsia"/>
          <w:sz w:val="24"/>
          <w:szCs w:val="24"/>
          <w:lang w:eastAsia="zh-CN"/>
        </w:rPr>
        <w:t>。</w:t>
      </w:r>
      <w:r w:rsidR="00A4343E" w:rsidRPr="00A4343E">
        <w:rPr>
          <w:rFonts w:ascii="华文楷体" w:hAnsi="华文楷体" w:hint="eastAsia"/>
          <w:sz w:val="24"/>
          <w:szCs w:val="24"/>
          <w:lang w:eastAsia="zh-CN"/>
        </w:rPr>
        <w:t>拿地方面，本周100大中城市土地成交</w:t>
      </w:r>
      <w:proofErr w:type="gramStart"/>
      <w:r w:rsidR="00A4343E" w:rsidRPr="00A4343E">
        <w:rPr>
          <w:rFonts w:ascii="华文楷体" w:hAnsi="华文楷体" w:hint="eastAsia"/>
          <w:sz w:val="24"/>
          <w:szCs w:val="24"/>
          <w:lang w:eastAsia="zh-CN"/>
        </w:rPr>
        <w:t>面积环</w:t>
      </w:r>
      <w:proofErr w:type="gramEnd"/>
      <w:r w:rsidR="00A4343E" w:rsidRPr="00A4343E">
        <w:rPr>
          <w:rFonts w:ascii="华文楷体" w:hAnsi="华文楷体" w:hint="eastAsia"/>
          <w:sz w:val="24"/>
          <w:szCs w:val="24"/>
          <w:lang w:eastAsia="zh-CN"/>
        </w:rPr>
        <w:t>比回升38.64%</w:t>
      </w:r>
      <w:r w:rsidR="00A4343E">
        <w:rPr>
          <w:rFonts w:ascii="华文楷体" w:hAnsi="华文楷体" w:hint="eastAsia"/>
          <w:sz w:val="24"/>
          <w:szCs w:val="24"/>
          <w:lang w:eastAsia="zh-CN"/>
        </w:rPr>
        <w:t>。</w:t>
      </w:r>
    </w:p>
    <w:p w14:paraId="77CCCEDF" w14:textId="015ADD78"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A4343E" w:rsidRPr="00A4343E">
        <w:rPr>
          <w:rFonts w:ascii="华文楷体" w:hAnsi="华文楷体" w:hint="eastAsia"/>
          <w:bCs/>
          <w:sz w:val="24"/>
          <w:szCs w:val="24"/>
          <w:lang w:eastAsia="zh-CN"/>
        </w:rPr>
        <w:t>上海出口集装箱指数（SCFI）及中国出口集装箱运价指数（CCFI）略有下行，环比分别下降4.32%和1.92%</w:t>
      </w:r>
      <w:r w:rsidR="00A4343E">
        <w:rPr>
          <w:rFonts w:ascii="华文楷体" w:hAnsi="华文楷体" w:hint="eastAsia"/>
          <w:bCs/>
          <w:sz w:val="24"/>
          <w:szCs w:val="24"/>
          <w:lang w:eastAsia="zh-CN"/>
        </w:rPr>
        <w:t>。</w:t>
      </w:r>
      <w:r w:rsidR="00A4343E" w:rsidRPr="00A4343E">
        <w:rPr>
          <w:rFonts w:ascii="华文楷体" w:hAnsi="华文楷体" w:hint="eastAsia"/>
          <w:bCs/>
          <w:sz w:val="24"/>
          <w:szCs w:val="24"/>
          <w:lang w:eastAsia="zh-CN"/>
        </w:rPr>
        <w:t>波罗的海干散货指数较上周继续回升2.5%，中国进口干散货运价指数增幅转正至5.54%。</w:t>
      </w:r>
    </w:p>
    <w:p w14:paraId="0542DAC4" w14:textId="08644E82"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A4343E" w:rsidRPr="00A4343E">
        <w:rPr>
          <w:rFonts w:ascii="华文楷体" w:hAnsi="华文楷体" w:hint="eastAsia"/>
          <w:bCs/>
          <w:sz w:val="24"/>
          <w:szCs w:val="24"/>
          <w:lang w:eastAsia="zh-CN"/>
        </w:rPr>
        <w:t>猪价来看，本周农业部公布的全国平均批发价较上周末回落至38.57元/公斤左右，回落2.51%</w:t>
      </w:r>
      <w:r w:rsidR="00A4343E">
        <w:rPr>
          <w:rFonts w:ascii="华文楷体" w:hAnsi="华文楷体" w:hint="eastAsia"/>
          <w:bCs/>
          <w:sz w:val="24"/>
          <w:szCs w:val="24"/>
          <w:lang w:eastAsia="zh-CN"/>
        </w:rPr>
        <w:t>。</w:t>
      </w:r>
      <w:r w:rsidR="00A4343E" w:rsidRPr="00A4343E">
        <w:rPr>
          <w:rFonts w:ascii="华文楷体" w:hAnsi="华文楷体" w:hint="eastAsia"/>
          <w:bCs/>
          <w:sz w:val="24"/>
          <w:szCs w:val="24"/>
          <w:lang w:eastAsia="zh-CN"/>
        </w:rPr>
        <w:t>生鲜乳制品价格环比转而上行，水果、水产品价格延续小幅上涨，鸡蛋价格继续回落。</w:t>
      </w:r>
      <w:r w:rsidR="0063487B" w:rsidRPr="0063487B">
        <w:rPr>
          <w:rFonts w:ascii="华文楷体" w:hAnsi="华文楷体" w:hint="eastAsia"/>
          <w:bCs/>
          <w:sz w:val="24"/>
          <w:szCs w:val="24"/>
          <w:lang w:eastAsia="zh-CN"/>
        </w:rPr>
        <w:t>工业品价格方面，</w:t>
      </w:r>
      <w:r w:rsidR="00A4343E" w:rsidRPr="00A4343E">
        <w:rPr>
          <w:rFonts w:ascii="华文楷体" w:hAnsi="华文楷体" w:hint="eastAsia"/>
          <w:bCs/>
          <w:sz w:val="24"/>
          <w:szCs w:val="24"/>
          <w:lang w:eastAsia="zh-CN"/>
        </w:rPr>
        <w:t>长江有色市场现货价格铜、铝、铅、锌价分别变化-2.37%、1.15%、-4.04%、-2.07%；海外价格来看，LME铜、铝、铅、</w:t>
      </w:r>
      <w:proofErr w:type="gramStart"/>
      <w:r w:rsidR="00A4343E" w:rsidRPr="00A4343E">
        <w:rPr>
          <w:rFonts w:ascii="华文楷体" w:hAnsi="华文楷体" w:hint="eastAsia"/>
          <w:bCs/>
          <w:sz w:val="24"/>
          <w:szCs w:val="24"/>
          <w:lang w:eastAsia="zh-CN"/>
        </w:rPr>
        <w:t>锌较上</w:t>
      </w:r>
      <w:proofErr w:type="gramEnd"/>
      <w:r w:rsidR="00A4343E" w:rsidRPr="00A4343E">
        <w:rPr>
          <w:rFonts w:ascii="华文楷体" w:hAnsi="华文楷体" w:hint="eastAsia"/>
          <w:bCs/>
          <w:sz w:val="24"/>
          <w:szCs w:val="24"/>
          <w:lang w:eastAsia="zh-CN"/>
        </w:rPr>
        <w:t>周环比变化分别为-1.59%、0.13%、-3.7%、-2.52%</w:t>
      </w:r>
      <w:r w:rsidR="00617BC1" w:rsidRPr="00617BC1">
        <w:rPr>
          <w:rFonts w:ascii="华文楷体" w:hAnsi="华文楷体" w:hint="eastAsia"/>
          <w:bCs/>
          <w:sz w:val="24"/>
          <w:szCs w:val="24"/>
          <w:lang w:eastAsia="zh-CN"/>
        </w:rPr>
        <w:t>。</w:t>
      </w:r>
    </w:p>
    <w:p w14:paraId="29155A05" w14:textId="049483F2"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A4343E" w:rsidRPr="00A4343E">
        <w:rPr>
          <w:rFonts w:ascii="华文楷体" w:hAnsi="华文楷体" w:hint="eastAsia"/>
          <w:bCs/>
          <w:sz w:val="24"/>
          <w:szCs w:val="24"/>
          <w:lang w:eastAsia="zh-CN"/>
        </w:rPr>
        <w:t>乘联会最新数据显示，2月第四周的日均零售是6.7万辆左右</w:t>
      </w:r>
      <w:r w:rsidR="00617BC1" w:rsidRPr="00617BC1">
        <w:rPr>
          <w:rFonts w:ascii="华文楷体" w:hAnsi="华文楷体" w:hint="eastAsia"/>
          <w:bCs/>
          <w:sz w:val="24"/>
          <w:szCs w:val="24"/>
          <w:lang w:eastAsia="zh-CN"/>
        </w:rPr>
        <w:t>。</w:t>
      </w:r>
      <w:r w:rsidR="00A4343E" w:rsidRPr="00A4343E">
        <w:rPr>
          <w:rFonts w:ascii="华文楷体" w:hAnsi="华文楷体" w:hint="eastAsia"/>
          <w:bCs/>
          <w:sz w:val="24"/>
          <w:szCs w:val="24"/>
          <w:lang w:eastAsia="zh-CN"/>
        </w:rPr>
        <w:t>批发方面，2月第四周主要厂商批发销量达到日均6.55万辆，同比2019年下降15%，环比1月第四周下降39%。</w:t>
      </w:r>
    </w:p>
    <w:p w14:paraId="6C0621FD" w14:textId="41A307EC"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A4343E" w:rsidRPr="00A4343E">
        <w:rPr>
          <w:rFonts w:ascii="华文楷体" w:hAnsi="华文楷体" w:hint="eastAsia"/>
          <w:bCs/>
          <w:sz w:val="24"/>
          <w:szCs w:val="24"/>
          <w:lang w:eastAsia="zh-CN"/>
        </w:rPr>
        <w:t>WTI原油价格上涨4.88%，至66.09美元/桶；布伦</w:t>
      </w:r>
      <w:proofErr w:type="gramStart"/>
      <w:r w:rsidR="00A4343E" w:rsidRPr="00A4343E">
        <w:rPr>
          <w:rFonts w:ascii="华文楷体" w:hAnsi="华文楷体" w:hint="eastAsia"/>
          <w:bCs/>
          <w:sz w:val="24"/>
          <w:szCs w:val="24"/>
          <w:lang w:eastAsia="zh-CN"/>
        </w:rPr>
        <w:t>特</w:t>
      </w:r>
      <w:proofErr w:type="gramEnd"/>
      <w:r w:rsidR="00A4343E" w:rsidRPr="00A4343E">
        <w:rPr>
          <w:rFonts w:ascii="华文楷体" w:hAnsi="华文楷体" w:hint="eastAsia"/>
          <w:bCs/>
          <w:sz w:val="24"/>
          <w:szCs w:val="24"/>
          <w:lang w:eastAsia="zh-CN"/>
        </w:rPr>
        <w:t>原油价格上涨7.46%，至69.36美元/桶。</w:t>
      </w:r>
    </w:p>
    <w:p w14:paraId="35D3E229" w14:textId="0502CB5B"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2800E2" w:rsidRPr="002800E2">
        <w:rPr>
          <w:rFonts w:ascii="华文楷体" w:hAnsi="华文楷体" w:hint="eastAsia"/>
          <w:bCs/>
          <w:sz w:val="24"/>
          <w:szCs w:val="24"/>
          <w:lang w:eastAsia="zh-CN"/>
        </w:rPr>
        <w:t>2月通胀数据、2月金融数据，两会闭幕、总理答记者问</w:t>
      </w:r>
      <w:r w:rsidR="00791236" w:rsidRPr="00791236">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2CDE9783"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DB28B0">
        <w:rPr>
          <w:rFonts w:hint="eastAsia"/>
          <w:sz w:val="28"/>
          <w:szCs w:val="21"/>
          <w:lang w:eastAsia="zh-CN"/>
        </w:rPr>
        <w:t>本</w:t>
      </w:r>
      <w:bookmarkStart w:id="2" w:name="_GoBack"/>
      <w:bookmarkEnd w:id="2"/>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6BB812FC"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DE343B" w:rsidRPr="00DE343B">
        <w:rPr>
          <w:rFonts w:ascii="华文楷体" w:hAnsi="华文楷体" w:hint="eastAsia"/>
          <w:sz w:val="24"/>
          <w:szCs w:val="24"/>
          <w:lang w:eastAsia="zh-CN"/>
        </w:rPr>
        <w:t>两会召开市场还在消化两会的政策信息，从已公布信息看GDP增长6%以上，CPI在3%左右，城镇新增就业1100万人以上；2021年赤字率拟按3.2%左右安排，不再发行抗</w:t>
      </w:r>
      <w:proofErr w:type="gramStart"/>
      <w:r w:rsidR="00DE343B" w:rsidRPr="00DE343B">
        <w:rPr>
          <w:rFonts w:ascii="华文楷体" w:hAnsi="华文楷体" w:hint="eastAsia"/>
          <w:sz w:val="24"/>
          <w:szCs w:val="24"/>
          <w:lang w:eastAsia="zh-CN"/>
        </w:rPr>
        <w:t>疫</w:t>
      </w:r>
      <w:proofErr w:type="gramEnd"/>
      <w:r w:rsidR="00DE343B" w:rsidRPr="00DE343B">
        <w:rPr>
          <w:rFonts w:ascii="华文楷体" w:hAnsi="华文楷体" w:hint="eastAsia"/>
          <w:sz w:val="24"/>
          <w:szCs w:val="24"/>
          <w:lang w:eastAsia="zh-CN"/>
        </w:rPr>
        <w:t>特别国债；将2.8</w:t>
      </w:r>
      <w:proofErr w:type="gramStart"/>
      <w:r w:rsidR="00DE343B" w:rsidRPr="00DE343B">
        <w:rPr>
          <w:rFonts w:ascii="华文楷体" w:hAnsi="华文楷体" w:hint="eastAsia"/>
          <w:sz w:val="24"/>
          <w:szCs w:val="24"/>
          <w:lang w:eastAsia="zh-CN"/>
        </w:rPr>
        <w:t>万亿</w:t>
      </w:r>
      <w:proofErr w:type="gramEnd"/>
      <w:r w:rsidR="00DE343B" w:rsidRPr="00DE343B">
        <w:rPr>
          <w:rFonts w:ascii="华文楷体" w:hAnsi="华文楷体" w:hint="eastAsia"/>
          <w:sz w:val="24"/>
          <w:szCs w:val="24"/>
          <w:lang w:eastAsia="zh-CN"/>
        </w:rPr>
        <w:t>元中央财政资金纳入直达机制；延长小规模纳税人增值税优惠等部分阶段性政策执行期限，延续普惠小</w:t>
      </w:r>
      <w:proofErr w:type="gramStart"/>
      <w:r w:rsidR="00DE343B" w:rsidRPr="00DE343B">
        <w:rPr>
          <w:rFonts w:ascii="华文楷体" w:hAnsi="华文楷体" w:hint="eastAsia"/>
          <w:sz w:val="24"/>
          <w:szCs w:val="24"/>
          <w:lang w:eastAsia="zh-CN"/>
        </w:rPr>
        <w:t>微企业</w:t>
      </w:r>
      <w:proofErr w:type="gramEnd"/>
      <w:r w:rsidR="00DE343B" w:rsidRPr="00DE343B">
        <w:rPr>
          <w:rFonts w:ascii="华文楷体" w:hAnsi="华文楷体" w:hint="eastAsia"/>
          <w:sz w:val="24"/>
          <w:szCs w:val="24"/>
          <w:lang w:eastAsia="zh-CN"/>
        </w:rPr>
        <w:t>贷款延期还本付息政策；拟安排地方政府专项债券3.65</w:t>
      </w:r>
      <w:proofErr w:type="gramStart"/>
      <w:r w:rsidR="00DE343B" w:rsidRPr="00DE343B">
        <w:rPr>
          <w:rFonts w:ascii="华文楷体" w:hAnsi="华文楷体" w:hint="eastAsia"/>
          <w:sz w:val="24"/>
          <w:szCs w:val="24"/>
          <w:lang w:eastAsia="zh-CN"/>
        </w:rPr>
        <w:t>万亿</w:t>
      </w:r>
      <w:proofErr w:type="gramEnd"/>
      <w:r w:rsidR="00DE343B" w:rsidRPr="00DE343B">
        <w:rPr>
          <w:rFonts w:ascii="华文楷体" w:hAnsi="华文楷体" w:hint="eastAsia"/>
          <w:sz w:val="24"/>
          <w:szCs w:val="24"/>
          <w:lang w:eastAsia="zh-CN"/>
        </w:rPr>
        <w:t>元。债券供给上的压力仍不容小觑，此外结合央行近期的表态，对信用风险及部分市场情绪过热监管持续关注度较大，宏观杠杆率始终在监管关注当中，政策重心持续向“防风险”倾斜。从近期高频数据来看，PMI指数已经连续三个月下滑；</w:t>
      </w:r>
      <w:proofErr w:type="gramStart"/>
      <w:r w:rsidR="00DE343B" w:rsidRPr="00DE343B">
        <w:rPr>
          <w:rFonts w:ascii="华文楷体" w:hAnsi="华文楷体" w:hint="eastAsia"/>
          <w:sz w:val="24"/>
          <w:szCs w:val="24"/>
          <w:lang w:eastAsia="zh-CN"/>
        </w:rPr>
        <w:t>社融存量</w:t>
      </w:r>
      <w:proofErr w:type="gramEnd"/>
      <w:r w:rsidR="00DE343B" w:rsidRPr="00DE343B">
        <w:rPr>
          <w:rFonts w:ascii="华文楷体" w:hAnsi="华文楷体" w:hint="eastAsia"/>
          <w:sz w:val="24"/>
          <w:szCs w:val="24"/>
          <w:lang w:eastAsia="zh-CN"/>
        </w:rPr>
        <w:t>同比增速于2020年11月见顶后加速回落。债市上周表现相对较好，主要源于市场对货币政策持续矫正，供给压力暂未显现以及两会预期落地等因素，后续关注供给节奏把握以及基本面数据情况。</w:t>
      </w:r>
    </w:p>
    <w:p w14:paraId="2C3F4BD1" w14:textId="36131D45"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1959A4">
        <w:rPr>
          <w:rFonts w:ascii="华文楷体" w:hAnsi="华文楷体" w:hint="eastAsia"/>
          <w:sz w:val="24"/>
          <w:szCs w:val="24"/>
          <w:lang w:eastAsia="zh-CN"/>
        </w:rPr>
        <w:t>伴随资金</w:t>
      </w:r>
      <w:proofErr w:type="gramStart"/>
      <w:r w:rsidR="001959A4">
        <w:rPr>
          <w:rFonts w:ascii="华文楷体" w:hAnsi="华文楷体" w:hint="eastAsia"/>
          <w:sz w:val="24"/>
          <w:szCs w:val="24"/>
          <w:lang w:eastAsia="zh-CN"/>
        </w:rPr>
        <w:t>面回归</w:t>
      </w:r>
      <w:proofErr w:type="gramEnd"/>
      <w:r w:rsidR="001959A4">
        <w:rPr>
          <w:rFonts w:ascii="华文楷体" w:hAnsi="华文楷体" w:hint="eastAsia"/>
          <w:sz w:val="24"/>
          <w:szCs w:val="24"/>
          <w:lang w:eastAsia="zh-CN"/>
        </w:rPr>
        <w:t>中枢，信用债短期内情绪尚可，但是市场仍关注后续信用风险持续暴露情况，流动性和信用溢价实际表现都相对较脆弱</w:t>
      </w:r>
      <w:r w:rsidR="00DE343B">
        <w:rPr>
          <w:rFonts w:ascii="华文楷体" w:hAnsi="华文楷体" w:hint="eastAsia"/>
          <w:sz w:val="24"/>
          <w:szCs w:val="24"/>
          <w:lang w:eastAsia="zh-CN"/>
        </w:rPr>
        <w:t>，持续关注和梳理信用风险。</w:t>
      </w:r>
    </w:p>
    <w:p w14:paraId="4C893BAE" w14:textId="659F73B4"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DE343B" w:rsidRPr="00DE343B">
        <w:rPr>
          <w:rFonts w:ascii="华文楷体" w:hAnsi="华文楷体" w:hint="eastAsia"/>
          <w:sz w:val="24"/>
          <w:szCs w:val="24"/>
          <w:lang w:eastAsia="zh-CN"/>
        </w:rPr>
        <w:t>A股市场仍处于调整行情之中，转债表现相对略好</w:t>
      </w:r>
      <w:r w:rsidR="00DE343B">
        <w:rPr>
          <w:rFonts w:ascii="华文楷体" w:hAnsi="华文楷体" w:hint="eastAsia"/>
          <w:sz w:val="24"/>
          <w:szCs w:val="24"/>
          <w:lang w:eastAsia="zh-CN"/>
        </w:rPr>
        <w:t>，尤其</w:t>
      </w:r>
      <w:r w:rsidR="00DE343B" w:rsidRPr="00DE343B">
        <w:rPr>
          <w:rFonts w:ascii="华文楷体" w:hAnsi="华文楷体" w:hint="eastAsia"/>
          <w:sz w:val="24"/>
          <w:szCs w:val="24"/>
          <w:lang w:eastAsia="zh-CN"/>
        </w:rPr>
        <w:t>低平价</w:t>
      </w:r>
      <w:proofErr w:type="gramStart"/>
      <w:r w:rsidR="00DE343B" w:rsidRPr="00DE343B">
        <w:rPr>
          <w:rFonts w:ascii="华文楷体" w:hAnsi="华文楷体" w:hint="eastAsia"/>
          <w:sz w:val="24"/>
          <w:szCs w:val="24"/>
          <w:lang w:eastAsia="zh-CN"/>
        </w:rPr>
        <w:t>券</w:t>
      </w:r>
      <w:proofErr w:type="gramEnd"/>
      <w:r w:rsidR="00DE343B">
        <w:rPr>
          <w:rFonts w:ascii="华文楷体" w:hAnsi="华文楷体" w:hint="eastAsia"/>
          <w:sz w:val="24"/>
          <w:szCs w:val="24"/>
          <w:lang w:eastAsia="zh-CN"/>
        </w:rPr>
        <w:t>近期表现相对较好，</w:t>
      </w:r>
      <w:r w:rsidR="00DE343B" w:rsidRPr="00DE343B">
        <w:rPr>
          <w:rFonts w:ascii="华文楷体" w:hAnsi="华文楷体" w:hint="eastAsia"/>
          <w:sz w:val="24"/>
          <w:szCs w:val="24"/>
          <w:lang w:eastAsia="zh-CN"/>
        </w:rPr>
        <w:t>关注低估值转债配置机会及新能源</w:t>
      </w:r>
      <w:r w:rsidR="00DE343B">
        <w:rPr>
          <w:rFonts w:ascii="华文楷体" w:hAnsi="华文楷体" w:hint="eastAsia"/>
          <w:sz w:val="24"/>
          <w:szCs w:val="24"/>
          <w:lang w:eastAsia="zh-CN"/>
        </w:rPr>
        <w:t>、环保、科技、消费等相关板块正股对应的政策相对更支持的转债</w:t>
      </w:r>
      <w:proofErr w:type="gramStart"/>
      <w:r w:rsidR="00DE343B">
        <w:rPr>
          <w:rFonts w:ascii="华文楷体" w:hAnsi="华文楷体" w:hint="eastAsia"/>
          <w:sz w:val="24"/>
          <w:szCs w:val="24"/>
          <w:lang w:eastAsia="zh-CN"/>
        </w:rPr>
        <w:t>个券</w:t>
      </w:r>
      <w:proofErr w:type="gramEnd"/>
      <w:r w:rsidR="00DE343B">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77A1C70E" w:rsidR="001D35B3" w:rsidRPr="006A5F34" w:rsidRDefault="001D35B3" w:rsidP="00DE343B">
            <w:pPr>
              <w:pStyle w:val="ChartHeading"/>
              <w:jc w:val="both"/>
            </w:pPr>
            <w:r w:rsidRPr="006A5F34">
              <w:rPr>
                <w:rFonts w:hint="eastAsia"/>
              </w:rPr>
              <w:lastRenderedPageBreak/>
              <w:t>图表</w:t>
            </w:r>
            <w:r w:rsidRPr="006A5F34">
              <w:t>.</w:t>
            </w:r>
            <w:r w:rsidR="00FF26B0">
              <w:rPr>
                <w:rFonts w:hint="eastAsia"/>
              </w:rPr>
              <w:t xml:space="preserve"> </w:t>
            </w:r>
            <w:r w:rsidR="00FF26B0">
              <w:rPr>
                <w:rFonts w:hint="eastAsia"/>
              </w:rPr>
              <w:t>南华工业品指数</w:t>
            </w:r>
            <w:r w:rsidR="00DE343B">
              <w:rPr>
                <w:rFonts w:hint="eastAsia"/>
              </w:rPr>
              <w:t>小幅回调</w:t>
            </w:r>
          </w:p>
        </w:tc>
        <w:tc>
          <w:tcPr>
            <w:tcW w:w="4938" w:type="dxa"/>
            <w:vAlign w:val="center"/>
          </w:tcPr>
          <w:p w14:paraId="02A10F26" w14:textId="4EA79CD6"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DE343B">
              <w:rPr>
                <w:rFonts w:hint="eastAsia"/>
              </w:rPr>
              <w:t>持续</w:t>
            </w:r>
            <w:r w:rsidR="0071175B">
              <w:rPr>
                <w:rFonts w:hint="eastAsia"/>
              </w:rPr>
              <w:t>下行</w:t>
            </w:r>
          </w:p>
        </w:tc>
      </w:tr>
      <w:tr w:rsidR="001D35B3" w:rsidRPr="006A5F34" w14:paraId="205667F1" w14:textId="77777777" w:rsidTr="00DE343B">
        <w:tblPrEx>
          <w:tblCellMar>
            <w:left w:w="108" w:type="dxa"/>
            <w:right w:w="108" w:type="dxa"/>
          </w:tblCellMar>
        </w:tblPrEx>
        <w:trPr>
          <w:jc w:val="center"/>
        </w:trPr>
        <w:tc>
          <w:tcPr>
            <w:tcW w:w="4939" w:type="dxa"/>
            <w:vAlign w:val="center"/>
          </w:tcPr>
          <w:p w14:paraId="56C782C2" w14:textId="20131D7D" w:rsidR="001D35B3" w:rsidRPr="007E0340" w:rsidRDefault="00DE343B" w:rsidP="009A2BA0">
            <w:pPr>
              <w:jc w:val="center"/>
              <w:rPr>
                <w:noProof/>
              </w:rPr>
            </w:pPr>
            <w:r>
              <w:rPr>
                <w:noProof/>
              </w:rPr>
              <w:drawing>
                <wp:inline distT="0" distB="0" distL="0" distR="0" wp14:anchorId="185EF8CA" wp14:editId="389A27C7">
                  <wp:extent cx="2999105" cy="1898599"/>
                  <wp:effectExtent l="0" t="0" r="0" b="6985"/>
                  <wp:docPr id="17" name="图表 1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2800C6FA" w:rsidR="001D35B3" w:rsidRPr="007E0340" w:rsidRDefault="00DE343B" w:rsidP="009A2BA0">
            <w:pPr>
              <w:jc w:val="center"/>
              <w:rPr>
                <w:noProof/>
                <w:szCs w:val="18"/>
              </w:rPr>
            </w:pPr>
            <w:r>
              <w:rPr>
                <w:noProof/>
              </w:rPr>
              <w:drawing>
                <wp:inline distT="0" distB="0" distL="0" distR="0" wp14:anchorId="40DE349F" wp14:editId="59262154">
                  <wp:extent cx="2998470" cy="1957679"/>
                  <wp:effectExtent l="0" t="0" r="0" b="5080"/>
                  <wp:docPr id="18" name="图表 1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062958E1"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w:t>
            </w:r>
            <w:r w:rsidR="00DE343B">
              <w:rPr>
                <w:rFonts w:hint="eastAsia"/>
              </w:rPr>
              <w:t>震荡回升</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DE343B">
        <w:tblPrEx>
          <w:tblCellMar>
            <w:left w:w="108" w:type="dxa"/>
            <w:right w:w="108" w:type="dxa"/>
          </w:tblCellMar>
        </w:tblPrEx>
        <w:trPr>
          <w:trHeight w:val="2987"/>
          <w:jc w:val="center"/>
        </w:trPr>
        <w:tc>
          <w:tcPr>
            <w:tcW w:w="4939" w:type="dxa"/>
            <w:vAlign w:val="center"/>
          </w:tcPr>
          <w:p w14:paraId="0BAC1731" w14:textId="51C48C44" w:rsidR="001D35B3" w:rsidRPr="007E0340" w:rsidRDefault="00DE343B" w:rsidP="009A2BA0">
            <w:pPr>
              <w:jc w:val="center"/>
              <w:rPr>
                <w:noProof/>
              </w:rPr>
            </w:pPr>
            <w:r>
              <w:rPr>
                <w:noProof/>
              </w:rPr>
              <w:drawing>
                <wp:inline distT="0" distB="0" distL="0" distR="0" wp14:anchorId="7C45F8D2" wp14:editId="73A2D249">
                  <wp:extent cx="2999105" cy="1935734"/>
                  <wp:effectExtent l="0" t="0" r="10795" b="7620"/>
                  <wp:docPr id="19" name="图表 1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1B48C0A1" w:rsidR="001D35B3" w:rsidRPr="007E0340" w:rsidRDefault="00DE343B" w:rsidP="009A2BA0">
            <w:pPr>
              <w:jc w:val="center"/>
              <w:rPr>
                <w:noProof/>
                <w:szCs w:val="18"/>
              </w:rPr>
            </w:pPr>
            <w:r>
              <w:rPr>
                <w:noProof/>
              </w:rPr>
              <w:drawing>
                <wp:inline distT="0" distB="0" distL="0" distR="0" wp14:anchorId="51129829" wp14:editId="21282002">
                  <wp:extent cx="2998470" cy="1909242"/>
                  <wp:effectExtent l="0" t="0" r="0" b="0"/>
                  <wp:docPr id="20" name="图表 2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1EF1A1F1" w14:textId="7F82F638" w:rsidR="0028459A" w:rsidRPr="001A1299" w:rsidRDefault="00E46524" w:rsidP="00E46524">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988063" w14:textId="77777777" w:rsidR="009B0E90" w:rsidRDefault="009B0E90">
      <w:r>
        <w:separator/>
      </w:r>
    </w:p>
  </w:endnote>
  <w:endnote w:type="continuationSeparator" w:id="0">
    <w:p w14:paraId="1737C8A1" w14:textId="77777777" w:rsidR="009B0E90" w:rsidRDefault="009B0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B4109D" w:rsidRDefault="00B4109D">
        <w:pPr>
          <w:pStyle w:val="a4"/>
          <w:jc w:val="right"/>
        </w:pPr>
        <w:r>
          <w:fldChar w:fldCharType="begin"/>
        </w:r>
        <w:r>
          <w:instrText>PAGE   \* MERGEFORMAT</w:instrText>
        </w:r>
        <w:r>
          <w:fldChar w:fldCharType="separate"/>
        </w:r>
        <w:r w:rsidR="00DB28B0" w:rsidRPr="00DB28B0">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B468A0" w14:textId="77777777" w:rsidR="009B0E90" w:rsidRDefault="009B0E90">
      <w:r>
        <w:separator/>
      </w:r>
    </w:p>
  </w:footnote>
  <w:footnote w:type="continuationSeparator" w:id="0">
    <w:p w14:paraId="70E9FB04" w14:textId="77777777" w:rsidR="009B0E90" w:rsidRDefault="009B0E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B4109D" w:rsidRDefault="00B4109D"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AF"/>
    <w:rsid w:val="00337BF7"/>
    <w:rsid w:val="00337FC0"/>
    <w:rsid w:val="003401AF"/>
    <w:rsid w:val="003401E6"/>
    <w:rsid w:val="00340776"/>
    <w:rsid w:val="003409B2"/>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E28"/>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573"/>
    <w:rsid w:val="00710821"/>
    <w:rsid w:val="00710C35"/>
    <w:rsid w:val="00710EEA"/>
    <w:rsid w:val="0071175B"/>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01"/>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0BA"/>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0E90"/>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115"/>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41F"/>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28B0"/>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524"/>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44106</c:v>
                </c:pt>
                <c:pt idx="1">
                  <c:v>44113</c:v>
                </c:pt>
                <c:pt idx="2">
                  <c:v>44120</c:v>
                </c:pt>
                <c:pt idx="3">
                  <c:v>44127</c:v>
                </c:pt>
                <c:pt idx="4">
                  <c:v>44134</c:v>
                </c:pt>
                <c:pt idx="5">
                  <c:v>44141</c:v>
                </c:pt>
                <c:pt idx="6">
                  <c:v>44148</c:v>
                </c:pt>
                <c:pt idx="7">
                  <c:v>44155</c:v>
                </c:pt>
                <c:pt idx="8">
                  <c:v>44162</c:v>
                </c:pt>
                <c:pt idx="9">
                  <c:v>44169</c:v>
                </c:pt>
                <c:pt idx="10">
                  <c:v>44176</c:v>
                </c:pt>
                <c:pt idx="11">
                  <c:v>44183</c:v>
                </c:pt>
                <c:pt idx="12">
                  <c:v>44190</c:v>
                </c:pt>
                <c:pt idx="13">
                  <c:v>44197</c:v>
                </c:pt>
                <c:pt idx="14">
                  <c:v>44204</c:v>
                </c:pt>
                <c:pt idx="15">
                  <c:v>44211</c:v>
                </c:pt>
                <c:pt idx="16">
                  <c:v>44218</c:v>
                </c:pt>
                <c:pt idx="17">
                  <c:v>44225</c:v>
                </c:pt>
                <c:pt idx="18">
                  <c:v>44232</c:v>
                </c:pt>
                <c:pt idx="19">
                  <c:v>44239</c:v>
                </c:pt>
                <c:pt idx="20">
                  <c:v>44246</c:v>
                </c:pt>
                <c:pt idx="21">
                  <c:v>44253</c:v>
                </c:pt>
                <c:pt idx="22">
                  <c:v>44260</c:v>
                </c:pt>
              </c:numCache>
            </c:numRef>
          </c:cat>
          <c:val>
            <c:numRef>
              <c:f>央行!$B$5:$B$27</c:f>
              <c:numCache>
                <c:formatCode>###,###,###,###,##0.00</c:formatCode>
                <c:ptCount val="23"/>
                <c:pt idx="0">
                  <c:v>2150</c:v>
                </c:pt>
                <c:pt idx="1">
                  <c:v>0</c:v>
                </c:pt>
                <c:pt idx="2">
                  <c:v>1000</c:v>
                </c:pt>
                <c:pt idx="3">
                  <c:v>3200</c:v>
                </c:pt>
                <c:pt idx="4">
                  <c:v>5150</c:v>
                </c:pt>
                <c:pt idx="5">
                  <c:v>3200</c:v>
                </c:pt>
                <c:pt idx="6">
                  <c:v>5500</c:v>
                </c:pt>
                <c:pt idx="7">
                  <c:v>3000</c:v>
                </c:pt>
                <c:pt idx="8">
                  <c:v>4350</c:v>
                </c:pt>
                <c:pt idx="9">
                  <c:v>2000</c:v>
                </c:pt>
                <c:pt idx="10">
                  <c:v>1500</c:v>
                </c:pt>
                <c:pt idx="11">
                  <c:v>600</c:v>
                </c:pt>
                <c:pt idx="12">
                  <c:v>4300</c:v>
                </c:pt>
                <c:pt idx="13">
                  <c:v>1750</c:v>
                </c:pt>
                <c:pt idx="14">
                  <c:v>550</c:v>
                </c:pt>
                <c:pt idx="15">
                  <c:v>160</c:v>
                </c:pt>
                <c:pt idx="16">
                  <c:v>6140</c:v>
                </c:pt>
                <c:pt idx="17">
                  <c:v>3890</c:v>
                </c:pt>
                <c:pt idx="18">
                  <c:v>4800</c:v>
                </c:pt>
                <c:pt idx="19">
                  <c:v>2300</c:v>
                </c:pt>
                <c:pt idx="20">
                  <c:v>400</c:v>
                </c:pt>
                <c:pt idx="21">
                  <c:v>800</c:v>
                </c:pt>
                <c:pt idx="22">
                  <c:v>550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44106</c:v>
                </c:pt>
                <c:pt idx="1">
                  <c:v>44113</c:v>
                </c:pt>
                <c:pt idx="2">
                  <c:v>44120</c:v>
                </c:pt>
                <c:pt idx="3">
                  <c:v>44127</c:v>
                </c:pt>
                <c:pt idx="4">
                  <c:v>44134</c:v>
                </c:pt>
                <c:pt idx="5">
                  <c:v>44141</c:v>
                </c:pt>
                <c:pt idx="6">
                  <c:v>44148</c:v>
                </c:pt>
                <c:pt idx="7">
                  <c:v>44155</c:v>
                </c:pt>
                <c:pt idx="8">
                  <c:v>44162</c:v>
                </c:pt>
                <c:pt idx="9">
                  <c:v>44169</c:v>
                </c:pt>
                <c:pt idx="10">
                  <c:v>44176</c:v>
                </c:pt>
                <c:pt idx="11">
                  <c:v>44183</c:v>
                </c:pt>
                <c:pt idx="12">
                  <c:v>44190</c:v>
                </c:pt>
                <c:pt idx="13">
                  <c:v>44197</c:v>
                </c:pt>
                <c:pt idx="14">
                  <c:v>44204</c:v>
                </c:pt>
                <c:pt idx="15">
                  <c:v>44211</c:v>
                </c:pt>
                <c:pt idx="16">
                  <c:v>44218</c:v>
                </c:pt>
                <c:pt idx="17">
                  <c:v>44225</c:v>
                </c:pt>
                <c:pt idx="18">
                  <c:v>44232</c:v>
                </c:pt>
                <c:pt idx="19">
                  <c:v>44239</c:v>
                </c:pt>
                <c:pt idx="20">
                  <c:v>44246</c:v>
                </c:pt>
                <c:pt idx="21">
                  <c:v>44253</c:v>
                </c:pt>
                <c:pt idx="22">
                  <c:v>44260</c:v>
                </c:pt>
              </c:numCache>
            </c:numRef>
          </c:cat>
          <c:val>
            <c:numRef>
              <c:f>央行!$C$5:$C$27</c:f>
              <c:numCache>
                <c:formatCode>###,###,###,###,##0.00</c:formatCode>
                <c:ptCount val="23"/>
                <c:pt idx="0">
                  <c:v>-4650</c:v>
                </c:pt>
                <c:pt idx="1">
                  <c:v>-5000</c:v>
                </c:pt>
                <c:pt idx="2">
                  <c:v>-2100</c:v>
                </c:pt>
                <c:pt idx="3">
                  <c:v>-1000</c:v>
                </c:pt>
                <c:pt idx="4">
                  <c:v>-3250</c:v>
                </c:pt>
                <c:pt idx="5">
                  <c:v>-5100</c:v>
                </c:pt>
                <c:pt idx="6">
                  <c:v>-3200</c:v>
                </c:pt>
                <c:pt idx="7">
                  <c:v>-5500</c:v>
                </c:pt>
                <c:pt idx="8">
                  <c:v>-3050</c:v>
                </c:pt>
                <c:pt idx="9">
                  <c:v>-4300</c:v>
                </c:pt>
                <c:pt idx="10">
                  <c:v>-2000</c:v>
                </c:pt>
                <c:pt idx="11">
                  <c:v>-1500</c:v>
                </c:pt>
                <c:pt idx="12">
                  <c:v>-650</c:v>
                </c:pt>
                <c:pt idx="13">
                  <c:v>-800</c:v>
                </c:pt>
                <c:pt idx="14">
                  <c:v>-5200</c:v>
                </c:pt>
                <c:pt idx="15">
                  <c:v>-550</c:v>
                </c:pt>
                <c:pt idx="16">
                  <c:v>-160</c:v>
                </c:pt>
                <c:pt idx="17">
                  <c:v>-6190</c:v>
                </c:pt>
                <c:pt idx="18">
                  <c:v>-3840</c:v>
                </c:pt>
                <c:pt idx="19">
                  <c:v>-2800</c:v>
                </c:pt>
                <c:pt idx="20">
                  <c:v>-3800</c:v>
                </c:pt>
                <c:pt idx="21">
                  <c:v>-950</c:v>
                </c:pt>
                <c:pt idx="22">
                  <c:v>-800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232641280"/>
        <c:axId val="23264320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44106</c:v>
                </c:pt>
                <c:pt idx="1">
                  <c:v>44113</c:v>
                </c:pt>
                <c:pt idx="2">
                  <c:v>44120</c:v>
                </c:pt>
                <c:pt idx="3">
                  <c:v>44127</c:v>
                </c:pt>
                <c:pt idx="4">
                  <c:v>44134</c:v>
                </c:pt>
                <c:pt idx="5">
                  <c:v>44141</c:v>
                </c:pt>
                <c:pt idx="6">
                  <c:v>44148</c:v>
                </c:pt>
                <c:pt idx="7">
                  <c:v>44155</c:v>
                </c:pt>
                <c:pt idx="8">
                  <c:v>44162</c:v>
                </c:pt>
                <c:pt idx="9">
                  <c:v>44169</c:v>
                </c:pt>
                <c:pt idx="10">
                  <c:v>44176</c:v>
                </c:pt>
                <c:pt idx="11">
                  <c:v>44183</c:v>
                </c:pt>
                <c:pt idx="12">
                  <c:v>44190</c:v>
                </c:pt>
                <c:pt idx="13">
                  <c:v>44197</c:v>
                </c:pt>
                <c:pt idx="14">
                  <c:v>44204</c:v>
                </c:pt>
                <c:pt idx="15">
                  <c:v>44211</c:v>
                </c:pt>
                <c:pt idx="16">
                  <c:v>44218</c:v>
                </c:pt>
                <c:pt idx="17">
                  <c:v>44225</c:v>
                </c:pt>
                <c:pt idx="18">
                  <c:v>44232</c:v>
                </c:pt>
                <c:pt idx="19">
                  <c:v>44239</c:v>
                </c:pt>
                <c:pt idx="20">
                  <c:v>44246</c:v>
                </c:pt>
                <c:pt idx="21">
                  <c:v>44253</c:v>
                </c:pt>
                <c:pt idx="22">
                  <c:v>44260</c:v>
                </c:pt>
              </c:numCache>
            </c:numRef>
          </c:cat>
          <c:val>
            <c:numRef>
              <c:f>央行!$D$5:$D$27</c:f>
              <c:numCache>
                <c:formatCode>###,###,###,###,##0.00</c:formatCode>
                <c:ptCount val="23"/>
                <c:pt idx="0">
                  <c:v>-2500</c:v>
                </c:pt>
                <c:pt idx="1">
                  <c:v>-5000</c:v>
                </c:pt>
                <c:pt idx="2">
                  <c:v>-1100</c:v>
                </c:pt>
                <c:pt idx="3">
                  <c:v>2200</c:v>
                </c:pt>
                <c:pt idx="4">
                  <c:v>1900</c:v>
                </c:pt>
                <c:pt idx="5">
                  <c:v>-1900</c:v>
                </c:pt>
                <c:pt idx="6">
                  <c:v>2300</c:v>
                </c:pt>
                <c:pt idx="7">
                  <c:v>-2500</c:v>
                </c:pt>
                <c:pt idx="8">
                  <c:v>1300</c:v>
                </c:pt>
                <c:pt idx="9">
                  <c:v>-2300</c:v>
                </c:pt>
                <c:pt idx="10">
                  <c:v>-500</c:v>
                </c:pt>
                <c:pt idx="11">
                  <c:v>-900</c:v>
                </c:pt>
                <c:pt idx="12">
                  <c:v>3650</c:v>
                </c:pt>
                <c:pt idx="13">
                  <c:v>950</c:v>
                </c:pt>
                <c:pt idx="14">
                  <c:v>-4650</c:v>
                </c:pt>
                <c:pt idx="15">
                  <c:v>-390</c:v>
                </c:pt>
                <c:pt idx="16">
                  <c:v>5980</c:v>
                </c:pt>
                <c:pt idx="17">
                  <c:v>-2300</c:v>
                </c:pt>
                <c:pt idx="18">
                  <c:v>960</c:v>
                </c:pt>
                <c:pt idx="19">
                  <c:v>-500</c:v>
                </c:pt>
                <c:pt idx="20">
                  <c:v>-3400</c:v>
                </c:pt>
                <c:pt idx="21">
                  <c:v>-150</c:v>
                </c:pt>
                <c:pt idx="22">
                  <c:v>-250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232641280"/>
        <c:axId val="232643200"/>
      </c:lineChart>
      <c:catAx>
        <c:axId val="23264128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2643200"/>
        <c:crosses val="autoZero"/>
        <c:auto val="0"/>
        <c:lblAlgn val="ctr"/>
        <c:lblOffset val="0"/>
        <c:tickMarkSkip val="2"/>
        <c:noMultiLvlLbl val="0"/>
      </c:catAx>
      <c:valAx>
        <c:axId val="23264320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264128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735154929013793"/>
          <c:h val="0.79403023435126985"/>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44260</c:v>
                </c:pt>
                <c:pt idx="1">
                  <c:v>44259</c:v>
                </c:pt>
                <c:pt idx="2">
                  <c:v>44258</c:v>
                </c:pt>
                <c:pt idx="3">
                  <c:v>44257</c:v>
                </c:pt>
                <c:pt idx="4">
                  <c:v>44256</c:v>
                </c:pt>
                <c:pt idx="5">
                  <c:v>44253</c:v>
                </c:pt>
                <c:pt idx="6">
                  <c:v>44252</c:v>
                </c:pt>
                <c:pt idx="7">
                  <c:v>44251</c:v>
                </c:pt>
                <c:pt idx="8">
                  <c:v>44250</c:v>
                </c:pt>
                <c:pt idx="9">
                  <c:v>44249</c:v>
                </c:pt>
                <c:pt idx="10">
                  <c:v>44247</c:v>
                </c:pt>
                <c:pt idx="11">
                  <c:v>44246</c:v>
                </c:pt>
                <c:pt idx="12">
                  <c:v>44245</c:v>
                </c:pt>
                <c:pt idx="13">
                  <c:v>44237</c:v>
                </c:pt>
                <c:pt idx="14">
                  <c:v>44236</c:v>
                </c:pt>
                <c:pt idx="15">
                  <c:v>44235</c:v>
                </c:pt>
                <c:pt idx="16">
                  <c:v>44234</c:v>
                </c:pt>
                <c:pt idx="17">
                  <c:v>44232</c:v>
                </c:pt>
                <c:pt idx="18">
                  <c:v>44231</c:v>
                </c:pt>
                <c:pt idx="19">
                  <c:v>44230</c:v>
                </c:pt>
                <c:pt idx="20">
                  <c:v>44229</c:v>
                </c:pt>
                <c:pt idx="21">
                  <c:v>44228</c:v>
                </c:pt>
                <c:pt idx="22">
                  <c:v>44225</c:v>
                </c:pt>
                <c:pt idx="23">
                  <c:v>44224</c:v>
                </c:pt>
                <c:pt idx="24">
                  <c:v>44223</c:v>
                </c:pt>
                <c:pt idx="25">
                  <c:v>44222</c:v>
                </c:pt>
                <c:pt idx="26">
                  <c:v>44221</c:v>
                </c:pt>
                <c:pt idx="27">
                  <c:v>44218</c:v>
                </c:pt>
                <c:pt idx="28">
                  <c:v>44217</c:v>
                </c:pt>
                <c:pt idx="29">
                  <c:v>44216</c:v>
                </c:pt>
                <c:pt idx="30">
                  <c:v>44215</c:v>
                </c:pt>
                <c:pt idx="31">
                  <c:v>44214</c:v>
                </c:pt>
                <c:pt idx="32">
                  <c:v>44211</c:v>
                </c:pt>
                <c:pt idx="33">
                  <c:v>44210</c:v>
                </c:pt>
                <c:pt idx="34">
                  <c:v>44209</c:v>
                </c:pt>
                <c:pt idx="35">
                  <c:v>44208</c:v>
                </c:pt>
                <c:pt idx="36">
                  <c:v>44207</c:v>
                </c:pt>
                <c:pt idx="37">
                  <c:v>44204</c:v>
                </c:pt>
                <c:pt idx="38">
                  <c:v>44203</c:v>
                </c:pt>
                <c:pt idx="39">
                  <c:v>44202</c:v>
                </c:pt>
                <c:pt idx="40">
                  <c:v>44201</c:v>
                </c:pt>
                <c:pt idx="41">
                  <c:v>44200</c:v>
                </c:pt>
                <c:pt idx="42">
                  <c:v>44196</c:v>
                </c:pt>
                <c:pt idx="43">
                  <c:v>44195</c:v>
                </c:pt>
                <c:pt idx="44">
                  <c:v>44194</c:v>
                </c:pt>
                <c:pt idx="45">
                  <c:v>44193</c:v>
                </c:pt>
                <c:pt idx="46">
                  <c:v>44190</c:v>
                </c:pt>
                <c:pt idx="47">
                  <c:v>44189</c:v>
                </c:pt>
                <c:pt idx="48">
                  <c:v>44188</c:v>
                </c:pt>
                <c:pt idx="49">
                  <c:v>44187</c:v>
                </c:pt>
                <c:pt idx="50">
                  <c:v>44186</c:v>
                </c:pt>
                <c:pt idx="51">
                  <c:v>44183</c:v>
                </c:pt>
                <c:pt idx="52">
                  <c:v>44182</c:v>
                </c:pt>
                <c:pt idx="53">
                  <c:v>44181</c:v>
                </c:pt>
                <c:pt idx="54">
                  <c:v>44180</c:v>
                </c:pt>
                <c:pt idx="55">
                  <c:v>44179</c:v>
                </c:pt>
                <c:pt idx="56">
                  <c:v>44176</c:v>
                </c:pt>
                <c:pt idx="57">
                  <c:v>44175</c:v>
                </c:pt>
                <c:pt idx="58">
                  <c:v>44174</c:v>
                </c:pt>
              </c:numCache>
            </c:numRef>
          </c:cat>
          <c:val>
            <c:numRef>
              <c:f>资金!$B$3:$B$61</c:f>
              <c:numCache>
                <c:formatCode>###,###,###,###,##0.0000</c:formatCode>
                <c:ptCount val="59"/>
                <c:pt idx="0">
                  <c:v>1.6113999999999999</c:v>
                </c:pt>
                <c:pt idx="1">
                  <c:v>1.9486000000000001</c:v>
                </c:pt>
                <c:pt idx="2">
                  <c:v>1.532</c:v>
                </c:pt>
                <c:pt idx="3">
                  <c:v>1.8036000000000001</c:v>
                </c:pt>
                <c:pt idx="4">
                  <c:v>2.1819999999999999</c:v>
                </c:pt>
                <c:pt idx="5">
                  <c:v>2.2122000000000002</c:v>
                </c:pt>
                <c:pt idx="6">
                  <c:v>1.7466999999999999</c:v>
                </c:pt>
                <c:pt idx="7">
                  <c:v>1.5522</c:v>
                </c:pt>
                <c:pt idx="8">
                  <c:v>1.9908999999999999</c:v>
                </c:pt>
                <c:pt idx="9">
                  <c:v>1.5585</c:v>
                </c:pt>
                <c:pt idx="10">
                  <c:v>1.4419</c:v>
                </c:pt>
                <c:pt idx="11">
                  <c:v>1.8237000000000001</c:v>
                </c:pt>
                <c:pt idx="12">
                  <c:v>2.3538999999999999</c:v>
                </c:pt>
                <c:pt idx="13">
                  <c:v>1.8607</c:v>
                </c:pt>
                <c:pt idx="14">
                  <c:v>1.7911999999999999</c:v>
                </c:pt>
                <c:pt idx="15">
                  <c:v>1.9377</c:v>
                </c:pt>
                <c:pt idx="16">
                  <c:v>1.5358000000000001</c:v>
                </c:pt>
                <c:pt idx="17">
                  <c:v>1.8911</c:v>
                </c:pt>
                <c:pt idx="18">
                  <c:v>2.1088</c:v>
                </c:pt>
                <c:pt idx="19">
                  <c:v>1.9271</c:v>
                </c:pt>
                <c:pt idx="20">
                  <c:v>2.2991999999999999</c:v>
                </c:pt>
                <c:pt idx="21">
                  <c:v>3.0550999999999999</c:v>
                </c:pt>
                <c:pt idx="22">
                  <c:v>6.5883000000000003</c:v>
                </c:pt>
                <c:pt idx="23">
                  <c:v>4.2148000000000003</c:v>
                </c:pt>
                <c:pt idx="24">
                  <c:v>3.5893999999999999</c:v>
                </c:pt>
                <c:pt idx="25">
                  <c:v>3.1797</c:v>
                </c:pt>
                <c:pt idx="26">
                  <c:v>2.6110000000000002</c:v>
                </c:pt>
                <c:pt idx="27">
                  <c:v>2.5579000000000001</c:v>
                </c:pt>
                <c:pt idx="28">
                  <c:v>2.7303000000000002</c:v>
                </c:pt>
                <c:pt idx="29">
                  <c:v>2.6476999999999999</c:v>
                </c:pt>
                <c:pt idx="30">
                  <c:v>2.4173</c:v>
                </c:pt>
                <c:pt idx="31">
                  <c:v>2.2145999999999999</c:v>
                </c:pt>
                <c:pt idx="32">
                  <c:v>1.81</c:v>
                </c:pt>
                <c:pt idx="33">
                  <c:v>1.7403999999999999</c:v>
                </c:pt>
                <c:pt idx="34">
                  <c:v>1.466</c:v>
                </c:pt>
                <c:pt idx="35">
                  <c:v>1.4098999999999999</c:v>
                </c:pt>
                <c:pt idx="36">
                  <c:v>1.2854000000000001</c:v>
                </c:pt>
                <c:pt idx="37">
                  <c:v>1.0166999999999999</c:v>
                </c:pt>
                <c:pt idx="38">
                  <c:v>0.99309999999999998</c:v>
                </c:pt>
                <c:pt idx="39">
                  <c:v>0.69089999999999996</c:v>
                </c:pt>
                <c:pt idx="40">
                  <c:v>0.80669999999999997</c:v>
                </c:pt>
                <c:pt idx="41">
                  <c:v>0.96089999999999998</c:v>
                </c:pt>
                <c:pt idx="42">
                  <c:v>1.4548000000000001</c:v>
                </c:pt>
                <c:pt idx="43">
                  <c:v>0.7712</c:v>
                </c:pt>
                <c:pt idx="44">
                  <c:v>0.71660000000000001</c:v>
                </c:pt>
                <c:pt idx="45">
                  <c:v>0.74880000000000002</c:v>
                </c:pt>
                <c:pt idx="46">
                  <c:v>0.86060000000000003</c:v>
                </c:pt>
                <c:pt idx="47">
                  <c:v>0.69410000000000005</c:v>
                </c:pt>
                <c:pt idx="48">
                  <c:v>0.68979999999999997</c:v>
                </c:pt>
                <c:pt idx="49">
                  <c:v>1.0650999999999999</c:v>
                </c:pt>
                <c:pt idx="50">
                  <c:v>1.5268999999999999</c:v>
                </c:pt>
                <c:pt idx="51">
                  <c:v>1.7833000000000001</c:v>
                </c:pt>
                <c:pt idx="52">
                  <c:v>1.4323999999999999</c:v>
                </c:pt>
                <c:pt idx="53">
                  <c:v>1.0374000000000001</c:v>
                </c:pt>
                <c:pt idx="54">
                  <c:v>1.4353</c:v>
                </c:pt>
                <c:pt idx="55">
                  <c:v>1.7574000000000001</c:v>
                </c:pt>
                <c:pt idx="56">
                  <c:v>1.5121</c:v>
                </c:pt>
                <c:pt idx="57">
                  <c:v>1.0599000000000001</c:v>
                </c:pt>
                <c:pt idx="58">
                  <c:v>1.1145</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44260</c:v>
                </c:pt>
                <c:pt idx="1">
                  <c:v>44259</c:v>
                </c:pt>
                <c:pt idx="2">
                  <c:v>44258</c:v>
                </c:pt>
                <c:pt idx="3">
                  <c:v>44257</c:v>
                </c:pt>
                <c:pt idx="4">
                  <c:v>44256</c:v>
                </c:pt>
                <c:pt idx="5">
                  <c:v>44253</c:v>
                </c:pt>
                <c:pt idx="6">
                  <c:v>44252</c:v>
                </c:pt>
                <c:pt idx="7">
                  <c:v>44251</c:v>
                </c:pt>
                <c:pt idx="8">
                  <c:v>44250</c:v>
                </c:pt>
                <c:pt idx="9">
                  <c:v>44249</c:v>
                </c:pt>
                <c:pt idx="10">
                  <c:v>44247</c:v>
                </c:pt>
                <c:pt idx="11">
                  <c:v>44246</c:v>
                </c:pt>
                <c:pt idx="12">
                  <c:v>44245</c:v>
                </c:pt>
                <c:pt idx="13">
                  <c:v>44237</c:v>
                </c:pt>
                <c:pt idx="14">
                  <c:v>44236</c:v>
                </c:pt>
                <c:pt idx="15">
                  <c:v>44235</c:v>
                </c:pt>
                <c:pt idx="16">
                  <c:v>44234</c:v>
                </c:pt>
                <c:pt idx="17">
                  <c:v>44232</c:v>
                </c:pt>
                <c:pt idx="18">
                  <c:v>44231</c:v>
                </c:pt>
                <c:pt idx="19">
                  <c:v>44230</c:v>
                </c:pt>
                <c:pt idx="20">
                  <c:v>44229</c:v>
                </c:pt>
                <c:pt idx="21">
                  <c:v>44228</c:v>
                </c:pt>
                <c:pt idx="22">
                  <c:v>44225</c:v>
                </c:pt>
                <c:pt idx="23">
                  <c:v>44224</c:v>
                </c:pt>
                <c:pt idx="24">
                  <c:v>44223</c:v>
                </c:pt>
                <c:pt idx="25">
                  <c:v>44222</c:v>
                </c:pt>
                <c:pt idx="26">
                  <c:v>44221</c:v>
                </c:pt>
                <c:pt idx="27">
                  <c:v>44218</c:v>
                </c:pt>
                <c:pt idx="28">
                  <c:v>44217</c:v>
                </c:pt>
                <c:pt idx="29">
                  <c:v>44216</c:v>
                </c:pt>
                <c:pt idx="30">
                  <c:v>44215</c:v>
                </c:pt>
                <c:pt idx="31">
                  <c:v>44214</c:v>
                </c:pt>
                <c:pt idx="32">
                  <c:v>44211</c:v>
                </c:pt>
                <c:pt idx="33">
                  <c:v>44210</c:v>
                </c:pt>
                <c:pt idx="34">
                  <c:v>44209</c:v>
                </c:pt>
                <c:pt idx="35">
                  <c:v>44208</c:v>
                </c:pt>
                <c:pt idx="36">
                  <c:v>44207</c:v>
                </c:pt>
                <c:pt idx="37">
                  <c:v>44204</c:v>
                </c:pt>
                <c:pt idx="38">
                  <c:v>44203</c:v>
                </c:pt>
                <c:pt idx="39">
                  <c:v>44202</c:v>
                </c:pt>
                <c:pt idx="40">
                  <c:v>44201</c:v>
                </c:pt>
                <c:pt idx="41">
                  <c:v>44200</c:v>
                </c:pt>
                <c:pt idx="42">
                  <c:v>44196</c:v>
                </c:pt>
                <c:pt idx="43">
                  <c:v>44195</c:v>
                </c:pt>
                <c:pt idx="44">
                  <c:v>44194</c:v>
                </c:pt>
                <c:pt idx="45">
                  <c:v>44193</c:v>
                </c:pt>
                <c:pt idx="46">
                  <c:v>44190</c:v>
                </c:pt>
                <c:pt idx="47">
                  <c:v>44189</c:v>
                </c:pt>
                <c:pt idx="48">
                  <c:v>44188</c:v>
                </c:pt>
                <c:pt idx="49">
                  <c:v>44187</c:v>
                </c:pt>
                <c:pt idx="50">
                  <c:v>44186</c:v>
                </c:pt>
                <c:pt idx="51">
                  <c:v>44183</c:v>
                </c:pt>
                <c:pt idx="52">
                  <c:v>44182</c:v>
                </c:pt>
                <c:pt idx="53">
                  <c:v>44181</c:v>
                </c:pt>
                <c:pt idx="54">
                  <c:v>44180</c:v>
                </c:pt>
                <c:pt idx="55">
                  <c:v>44179</c:v>
                </c:pt>
                <c:pt idx="56">
                  <c:v>44176</c:v>
                </c:pt>
                <c:pt idx="57">
                  <c:v>44175</c:v>
                </c:pt>
                <c:pt idx="58">
                  <c:v>44174</c:v>
                </c:pt>
              </c:numCache>
            </c:numRef>
          </c:cat>
          <c:val>
            <c:numRef>
              <c:f>资金!$C$3:$C$61</c:f>
              <c:numCache>
                <c:formatCode>###,###,###,###,##0.0000</c:formatCode>
                <c:ptCount val="59"/>
                <c:pt idx="0">
                  <c:v>1.9971000000000001</c:v>
                </c:pt>
                <c:pt idx="1">
                  <c:v>2.0945999999999998</c:v>
                </c:pt>
                <c:pt idx="2">
                  <c:v>1.9888999999999999</c:v>
                </c:pt>
                <c:pt idx="3">
                  <c:v>2.1551999999999998</c:v>
                </c:pt>
                <c:pt idx="4">
                  <c:v>2.2427000000000001</c:v>
                </c:pt>
                <c:pt idx="5">
                  <c:v>2.3666999999999998</c:v>
                </c:pt>
                <c:pt idx="6">
                  <c:v>2.2989999999999999</c:v>
                </c:pt>
                <c:pt idx="7">
                  <c:v>2.3325999999999998</c:v>
                </c:pt>
                <c:pt idx="8">
                  <c:v>2.4706999999999999</c:v>
                </c:pt>
                <c:pt idx="9">
                  <c:v>2.4460999999999999</c:v>
                </c:pt>
                <c:pt idx="10">
                  <c:v>2.0444</c:v>
                </c:pt>
                <c:pt idx="11">
                  <c:v>2.0552999999999999</c:v>
                </c:pt>
                <c:pt idx="12">
                  <c:v>2.294</c:v>
                </c:pt>
                <c:pt idx="13">
                  <c:v>2.1448</c:v>
                </c:pt>
                <c:pt idx="14">
                  <c:v>2.5484</c:v>
                </c:pt>
                <c:pt idx="15">
                  <c:v>2.5283000000000002</c:v>
                </c:pt>
                <c:pt idx="16">
                  <c:v>2.4319999999999999</c:v>
                </c:pt>
                <c:pt idx="17">
                  <c:v>2.2995999999999999</c:v>
                </c:pt>
                <c:pt idx="18">
                  <c:v>2.5297000000000001</c:v>
                </c:pt>
                <c:pt idx="19">
                  <c:v>2.2336</c:v>
                </c:pt>
                <c:pt idx="20">
                  <c:v>2.5807000000000002</c:v>
                </c:pt>
                <c:pt idx="21">
                  <c:v>3.7665999999999999</c:v>
                </c:pt>
                <c:pt idx="22">
                  <c:v>4.3929999999999998</c:v>
                </c:pt>
                <c:pt idx="23">
                  <c:v>4.8315000000000001</c:v>
                </c:pt>
                <c:pt idx="24">
                  <c:v>4.0193000000000003</c:v>
                </c:pt>
                <c:pt idx="25">
                  <c:v>3.3340999999999998</c:v>
                </c:pt>
                <c:pt idx="26">
                  <c:v>2.7936999999999999</c:v>
                </c:pt>
                <c:pt idx="27">
                  <c:v>2.5236000000000001</c:v>
                </c:pt>
                <c:pt idx="28">
                  <c:v>2.7056</c:v>
                </c:pt>
                <c:pt idx="29">
                  <c:v>2.8475000000000001</c:v>
                </c:pt>
                <c:pt idx="30">
                  <c:v>2.7555000000000001</c:v>
                </c:pt>
                <c:pt idx="31">
                  <c:v>2.2976000000000001</c:v>
                </c:pt>
                <c:pt idx="32">
                  <c:v>2.0333999999999999</c:v>
                </c:pt>
                <c:pt idx="33">
                  <c:v>2.0226000000000002</c:v>
                </c:pt>
                <c:pt idx="34">
                  <c:v>2.0316000000000001</c:v>
                </c:pt>
                <c:pt idx="35">
                  <c:v>1.9894000000000001</c:v>
                </c:pt>
                <c:pt idx="36">
                  <c:v>1.9881</c:v>
                </c:pt>
                <c:pt idx="37">
                  <c:v>1.9588000000000001</c:v>
                </c:pt>
                <c:pt idx="38">
                  <c:v>1.9403999999999999</c:v>
                </c:pt>
                <c:pt idx="39">
                  <c:v>1.99</c:v>
                </c:pt>
                <c:pt idx="40">
                  <c:v>1.9370000000000001</c:v>
                </c:pt>
                <c:pt idx="41">
                  <c:v>2.0960000000000001</c:v>
                </c:pt>
                <c:pt idx="42">
                  <c:v>2.5943000000000001</c:v>
                </c:pt>
                <c:pt idx="43">
                  <c:v>3.3605</c:v>
                </c:pt>
                <c:pt idx="44">
                  <c:v>2.9542000000000002</c:v>
                </c:pt>
                <c:pt idx="45">
                  <c:v>2.7515999999999998</c:v>
                </c:pt>
                <c:pt idx="46">
                  <c:v>2.4668000000000001</c:v>
                </c:pt>
                <c:pt idx="47">
                  <c:v>1.7735000000000001</c:v>
                </c:pt>
                <c:pt idx="48">
                  <c:v>2.0478000000000001</c:v>
                </c:pt>
                <c:pt idx="49">
                  <c:v>2.1903999999999999</c:v>
                </c:pt>
                <c:pt idx="50">
                  <c:v>2.2450999999999999</c:v>
                </c:pt>
                <c:pt idx="51">
                  <c:v>2.2906</c:v>
                </c:pt>
                <c:pt idx="52">
                  <c:v>2.1383999999999999</c:v>
                </c:pt>
                <c:pt idx="53">
                  <c:v>2.1206</c:v>
                </c:pt>
                <c:pt idx="54">
                  <c:v>2.3511000000000002</c:v>
                </c:pt>
                <c:pt idx="55">
                  <c:v>2.4319000000000002</c:v>
                </c:pt>
                <c:pt idx="56">
                  <c:v>2.3391000000000002</c:v>
                </c:pt>
                <c:pt idx="57">
                  <c:v>2.2159</c:v>
                </c:pt>
                <c:pt idx="58">
                  <c:v>2.2378999999999998</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220493696"/>
        <c:axId val="220495232"/>
      </c:lineChart>
      <c:dateAx>
        <c:axId val="22049369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20495232"/>
        <c:crosses val="autoZero"/>
        <c:auto val="0"/>
        <c:lblOffset val="0"/>
        <c:baseTimeUnit val="days"/>
        <c:majorUnit val="14"/>
        <c:majorTimeUnit val="days"/>
        <c:minorUnit val="7"/>
        <c:minorTimeUnit val="days"/>
      </c:dateAx>
      <c:valAx>
        <c:axId val="22049523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2049369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4.7899999999999832</c:v>
                </c:pt>
                <c:pt idx="1">
                  <c:v>7.119999999999993</c:v>
                </c:pt>
                <c:pt idx="2">
                  <c:v>3.5399999999999654</c:v>
                </c:pt>
                <c:pt idx="3">
                  <c:v>1.6599999999999948</c:v>
                </c:pt>
                <c:pt idx="4">
                  <c:v>-1.7599999999999838</c:v>
                </c:pt>
                <c:pt idx="5">
                  <c:v>-4.2400000000000215</c:v>
                </c:pt>
                <c:pt idx="6">
                  <c:v>-3.4100000000000019</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220666112"/>
        <c:axId val="22067648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1.7790999999999999</c:v>
                </c:pt>
                <c:pt idx="1">
                  <c:v>2.0590999999999999</c:v>
                </c:pt>
                <c:pt idx="2">
                  <c:v>2.6389999999999998</c:v>
                </c:pt>
                <c:pt idx="3">
                  <c:v>2.9194</c:v>
                </c:pt>
                <c:pt idx="4">
                  <c:v>3.0874000000000001</c:v>
                </c:pt>
                <c:pt idx="5">
                  <c:v>3.2193999999999998</c:v>
                </c:pt>
                <c:pt idx="6">
                  <c:v>3.2456999999999998</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1.7312000000000001</c:v>
                </c:pt>
                <c:pt idx="1">
                  <c:v>1.9879</c:v>
                </c:pt>
                <c:pt idx="2">
                  <c:v>2.6036000000000001</c:v>
                </c:pt>
                <c:pt idx="3">
                  <c:v>2.9028</c:v>
                </c:pt>
                <c:pt idx="4">
                  <c:v>3.105</c:v>
                </c:pt>
                <c:pt idx="5">
                  <c:v>3.2618</c:v>
                </c:pt>
                <c:pt idx="6">
                  <c:v>3.2797999999999998</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220679552"/>
        <c:axId val="220678016"/>
      </c:lineChart>
      <c:dateAx>
        <c:axId val="22066611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20676480"/>
        <c:crosses val="autoZero"/>
        <c:auto val="0"/>
        <c:lblOffset val="0"/>
        <c:baseTimeUnit val="days"/>
      </c:dateAx>
      <c:valAx>
        <c:axId val="22067648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20666112"/>
        <c:crosses val="autoZero"/>
        <c:crossBetween val="between"/>
      </c:valAx>
      <c:valAx>
        <c:axId val="220678016"/>
        <c:scaling>
          <c:orientation val="minMax"/>
        </c:scaling>
        <c:delete val="0"/>
        <c:axPos val="r"/>
        <c:numFmt formatCode="#,##0.0_);[Red]\(#,##0.0\)" sourceLinked="0"/>
        <c:majorTickMark val="out"/>
        <c:minorTickMark val="none"/>
        <c:tickLblPos val="nextTo"/>
        <c:spPr>
          <a:ln w="3175">
            <a:solidFill>
              <a:sysClr val="windowText" lastClr="000000"/>
            </a:solidFill>
          </a:ln>
        </c:spPr>
        <c:crossAx val="220679552"/>
        <c:crosses val="max"/>
        <c:crossBetween val="between"/>
      </c:valAx>
      <c:dateAx>
        <c:axId val="220679552"/>
        <c:scaling>
          <c:orientation val="minMax"/>
        </c:scaling>
        <c:delete val="1"/>
        <c:axPos val="b"/>
        <c:numFmt formatCode="General" sourceLinked="1"/>
        <c:majorTickMark val="out"/>
        <c:minorTickMark val="none"/>
        <c:tickLblPos val="nextTo"/>
        <c:crossAx val="220678016"/>
        <c:crosses val="autoZero"/>
        <c:auto val="0"/>
        <c:lblOffset val="100"/>
        <c:baseTimeUnit val="years"/>
      </c:dateAx>
    </c:plotArea>
    <c:legend>
      <c:legendPos val="r"/>
      <c:layout>
        <c:manualLayout>
          <c:xMode val="edge"/>
          <c:yMode val="edge"/>
          <c:x val="0.10566952474154788"/>
          <c:y val="2.333930239133601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14.790000000000013</c:v>
                </c:pt>
                <c:pt idx="1">
                  <c:v>-1.8100000000000005</c:v>
                </c:pt>
                <c:pt idx="2">
                  <c:v>-1.1499999999999844</c:v>
                </c:pt>
                <c:pt idx="3">
                  <c:v>-0.99000000000000199</c:v>
                </c:pt>
                <c:pt idx="4">
                  <c:v>-6.4899999999999736</c:v>
                </c:pt>
                <c:pt idx="5">
                  <c:v>-2.9799999999999827</c:v>
                </c:pt>
                <c:pt idx="6">
                  <c:v>-8.0000000000000071</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221014656"/>
        <c:axId val="22102502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2.0192000000000001</c:v>
                </c:pt>
                <c:pt idx="1">
                  <c:v>2.1082000000000001</c:v>
                </c:pt>
                <c:pt idx="2">
                  <c:v>2.7265000000000001</c:v>
                </c:pt>
                <c:pt idx="3">
                  <c:v>3.2210999999999999</c:v>
                </c:pt>
                <c:pt idx="4">
                  <c:v>3.4001000000000001</c:v>
                </c:pt>
                <c:pt idx="5">
                  <c:v>3.5472000000000001</c:v>
                </c:pt>
                <c:pt idx="6">
                  <c:v>3.6741999999999999</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1.8713</c:v>
                </c:pt>
                <c:pt idx="1">
                  <c:v>2.1263000000000001</c:v>
                </c:pt>
                <c:pt idx="2">
                  <c:v>2.738</c:v>
                </c:pt>
                <c:pt idx="3">
                  <c:v>3.2309999999999999</c:v>
                </c:pt>
                <c:pt idx="4">
                  <c:v>3.4649999999999999</c:v>
                </c:pt>
                <c:pt idx="5">
                  <c:v>3.577</c:v>
                </c:pt>
                <c:pt idx="6">
                  <c:v>3.7542</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221028352"/>
        <c:axId val="221026560"/>
      </c:lineChart>
      <c:dateAx>
        <c:axId val="22101465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21025024"/>
        <c:crosses val="autoZero"/>
        <c:auto val="0"/>
        <c:lblOffset val="0"/>
        <c:baseTimeUnit val="days"/>
      </c:dateAx>
      <c:valAx>
        <c:axId val="22102502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21014656"/>
        <c:crosses val="autoZero"/>
        <c:crossBetween val="between"/>
      </c:valAx>
      <c:valAx>
        <c:axId val="221026560"/>
        <c:scaling>
          <c:orientation val="minMax"/>
        </c:scaling>
        <c:delete val="0"/>
        <c:axPos val="r"/>
        <c:numFmt formatCode="#,##0.0_);[Red]\(#,##0.0\)" sourceLinked="0"/>
        <c:majorTickMark val="out"/>
        <c:minorTickMark val="none"/>
        <c:tickLblPos val="nextTo"/>
        <c:spPr>
          <a:ln w="3175">
            <a:solidFill>
              <a:sysClr val="windowText" lastClr="000000"/>
            </a:solidFill>
          </a:ln>
        </c:spPr>
        <c:crossAx val="221028352"/>
        <c:crosses val="max"/>
        <c:crossBetween val="between"/>
      </c:valAx>
      <c:dateAx>
        <c:axId val="221028352"/>
        <c:scaling>
          <c:orientation val="minMax"/>
        </c:scaling>
        <c:delete val="1"/>
        <c:axPos val="b"/>
        <c:numFmt formatCode="General" sourceLinked="1"/>
        <c:majorTickMark val="out"/>
        <c:minorTickMark val="none"/>
        <c:tickLblPos val="nextTo"/>
        <c:crossAx val="221026560"/>
        <c:crosses val="autoZero"/>
        <c:auto val="0"/>
        <c:lblOffset val="100"/>
        <c:baseTimeUnit val="years"/>
      </c:dateAx>
    </c:plotArea>
    <c:legend>
      <c:legendPos val="r"/>
      <c:layout>
        <c:manualLayout>
          <c:xMode val="edge"/>
          <c:yMode val="edge"/>
          <c:x val="0.11413053990868674"/>
          <c:y val="2.3336819450806849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44260</c:v>
                </c:pt>
                <c:pt idx="1">
                  <c:v>44253</c:v>
                </c:pt>
                <c:pt idx="2">
                  <c:v>44246</c:v>
                </c:pt>
                <c:pt idx="3">
                  <c:v>44237</c:v>
                </c:pt>
                <c:pt idx="4">
                  <c:v>44232</c:v>
                </c:pt>
                <c:pt idx="5">
                  <c:v>44225</c:v>
                </c:pt>
                <c:pt idx="6">
                  <c:v>44218</c:v>
                </c:pt>
                <c:pt idx="7">
                  <c:v>44211</c:v>
                </c:pt>
                <c:pt idx="8">
                  <c:v>44204</c:v>
                </c:pt>
                <c:pt idx="9">
                  <c:v>44196</c:v>
                </c:pt>
                <c:pt idx="10">
                  <c:v>44190</c:v>
                </c:pt>
                <c:pt idx="11">
                  <c:v>44183</c:v>
                </c:pt>
                <c:pt idx="12">
                  <c:v>44176</c:v>
                </c:pt>
                <c:pt idx="13">
                  <c:v>44169</c:v>
                </c:pt>
                <c:pt idx="14">
                  <c:v>44162</c:v>
                </c:pt>
                <c:pt idx="15">
                  <c:v>44155</c:v>
                </c:pt>
                <c:pt idx="16">
                  <c:v>44148</c:v>
                </c:pt>
                <c:pt idx="17">
                  <c:v>44141</c:v>
                </c:pt>
                <c:pt idx="18">
                  <c:v>44134</c:v>
                </c:pt>
                <c:pt idx="19">
                  <c:v>44127</c:v>
                </c:pt>
                <c:pt idx="20">
                  <c:v>44120</c:v>
                </c:pt>
                <c:pt idx="21">
                  <c:v>44113</c:v>
                </c:pt>
                <c:pt idx="22">
                  <c:v>44104</c:v>
                </c:pt>
                <c:pt idx="23">
                  <c:v>44099</c:v>
                </c:pt>
              </c:numCache>
            </c:numRef>
          </c:cat>
          <c:val>
            <c:numRef>
              <c:f>转债!$H$5:$H$28</c:f>
              <c:numCache>
                <c:formatCode>General</c:formatCode>
                <c:ptCount val="24"/>
                <c:pt idx="0">
                  <c:v>3.213980913957637</c:v>
                </c:pt>
                <c:pt idx="1">
                  <c:v>2.7285934191721761</c:v>
                </c:pt>
                <c:pt idx="2">
                  <c:v>4.2907613615025042</c:v>
                </c:pt>
                <c:pt idx="3">
                  <c:v>2.5791850370105562</c:v>
                </c:pt>
                <c:pt idx="4">
                  <c:v>-0.2749226674582661</c:v>
                </c:pt>
                <c:pt idx="5">
                  <c:v>2.0346526248087082</c:v>
                </c:pt>
                <c:pt idx="6">
                  <c:v>6.0656992087399608</c:v>
                </c:pt>
                <c:pt idx="7">
                  <c:v>5.1006025810122368</c:v>
                </c:pt>
                <c:pt idx="8">
                  <c:v>5.1450737118833079</c:v>
                </c:pt>
                <c:pt idx="9">
                  <c:v>3.5321659520926252</c:v>
                </c:pt>
                <c:pt idx="10">
                  <c:v>2.3118241484424873</c:v>
                </c:pt>
                <c:pt idx="11">
                  <c:v>2.1319156544002738</c:v>
                </c:pt>
                <c:pt idx="12">
                  <c:v>1.9697450134425365</c:v>
                </c:pt>
                <c:pt idx="13">
                  <c:v>3.7291376423666422</c:v>
                </c:pt>
                <c:pt idx="14">
                  <c:v>3.5570720342365858</c:v>
                </c:pt>
                <c:pt idx="15">
                  <c:v>2.8897520748509375</c:v>
                </c:pt>
                <c:pt idx="16">
                  <c:v>2.9204208509446827</c:v>
                </c:pt>
                <c:pt idx="17">
                  <c:v>3.2865908577249803</c:v>
                </c:pt>
                <c:pt idx="18">
                  <c:v>2.8412330028639188</c:v>
                </c:pt>
                <c:pt idx="19">
                  <c:v>3.1248699880023656</c:v>
                </c:pt>
                <c:pt idx="20">
                  <c:v>3.5915357551265625</c:v>
                </c:pt>
                <c:pt idx="21">
                  <c:v>1.9661468435616891</c:v>
                </c:pt>
                <c:pt idx="22">
                  <c:v>0.97712800826679214</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44260</c:v>
                </c:pt>
                <c:pt idx="1">
                  <c:v>44253</c:v>
                </c:pt>
                <c:pt idx="2">
                  <c:v>44246</c:v>
                </c:pt>
                <c:pt idx="3">
                  <c:v>44237</c:v>
                </c:pt>
                <c:pt idx="4">
                  <c:v>44232</c:v>
                </c:pt>
                <c:pt idx="5">
                  <c:v>44225</c:v>
                </c:pt>
                <c:pt idx="6">
                  <c:v>44218</c:v>
                </c:pt>
                <c:pt idx="7">
                  <c:v>44211</c:v>
                </c:pt>
                <c:pt idx="8">
                  <c:v>44204</c:v>
                </c:pt>
                <c:pt idx="9">
                  <c:v>44196</c:v>
                </c:pt>
                <c:pt idx="10">
                  <c:v>44190</c:v>
                </c:pt>
                <c:pt idx="11">
                  <c:v>44183</c:v>
                </c:pt>
                <c:pt idx="12">
                  <c:v>44176</c:v>
                </c:pt>
                <c:pt idx="13">
                  <c:v>44169</c:v>
                </c:pt>
                <c:pt idx="14">
                  <c:v>44162</c:v>
                </c:pt>
                <c:pt idx="15">
                  <c:v>44155</c:v>
                </c:pt>
                <c:pt idx="16">
                  <c:v>44148</c:v>
                </c:pt>
                <c:pt idx="17">
                  <c:v>44141</c:v>
                </c:pt>
                <c:pt idx="18">
                  <c:v>44134</c:v>
                </c:pt>
                <c:pt idx="19">
                  <c:v>44127</c:v>
                </c:pt>
                <c:pt idx="20">
                  <c:v>44120</c:v>
                </c:pt>
                <c:pt idx="21">
                  <c:v>44113</c:v>
                </c:pt>
                <c:pt idx="22">
                  <c:v>44104</c:v>
                </c:pt>
                <c:pt idx="23">
                  <c:v>44099</c:v>
                </c:pt>
              </c:numCache>
            </c:numRef>
          </c:cat>
          <c:val>
            <c:numRef>
              <c:f>转债!$I$5:$I$28</c:f>
              <c:numCache>
                <c:formatCode>General</c:formatCode>
                <c:ptCount val="24"/>
                <c:pt idx="0">
                  <c:v>0.1846808830513913</c:v>
                </c:pt>
                <c:pt idx="1">
                  <c:v>3.5108160469055072E-2</c:v>
                </c:pt>
                <c:pt idx="2">
                  <c:v>6.2015874697185502E-2</c:v>
                </c:pt>
                <c:pt idx="3">
                  <c:v>0.13701578927585167</c:v>
                </c:pt>
                <c:pt idx="4">
                  <c:v>0.15290415386770562</c:v>
                </c:pt>
                <c:pt idx="5">
                  <c:v>0.34732306683020742</c:v>
                </c:pt>
                <c:pt idx="6">
                  <c:v>0.72847297440434833</c:v>
                </c:pt>
                <c:pt idx="7">
                  <c:v>0.6533022171956393</c:v>
                </c:pt>
                <c:pt idx="8">
                  <c:v>0.66397988157189669</c:v>
                </c:pt>
                <c:pt idx="9">
                  <c:v>0.63895143627399342</c:v>
                </c:pt>
                <c:pt idx="10">
                  <c:v>0.36141758380685562</c:v>
                </c:pt>
                <c:pt idx="11">
                  <c:v>4.0233439369652402E-2</c:v>
                </c:pt>
                <c:pt idx="12">
                  <c:v>-8.9948644705417635E-2</c:v>
                </c:pt>
                <c:pt idx="13">
                  <c:v>-0.13351351536046163</c:v>
                </c:pt>
                <c:pt idx="14">
                  <c:v>-0.30845636850072022</c:v>
                </c:pt>
                <c:pt idx="15">
                  <c:v>-0.49424772864723465</c:v>
                </c:pt>
                <c:pt idx="16">
                  <c:v>-0.22585395688614618</c:v>
                </c:pt>
                <c:pt idx="17">
                  <c:v>-5.6378067906592833E-3</c:v>
                </c:pt>
                <c:pt idx="18">
                  <c:v>-2.7078556858139979E-2</c:v>
                </c:pt>
                <c:pt idx="19">
                  <c:v>-0.13624699744076985</c:v>
                </c:pt>
                <c:pt idx="20">
                  <c:v>-0.3837979683394388</c:v>
                </c:pt>
                <c:pt idx="21">
                  <c:v>-0.30811468324067892</c:v>
                </c:pt>
                <c:pt idx="22">
                  <c:v>-0.10310352721694116</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44260</c:v>
                </c:pt>
                <c:pt idx="1">
                  <c:v>44253</c:v>
                </c:pt>
                <c:pt idx="2">
                  <c:v>44246</c:v>
                </c:pt>
                <c:pt idx="3">
                  <c:v>44237</c:v>
                </c:pt>
                <c:pt idx="4">
                  <c:v>44232</c:v>
                </c:pt>
                <c:pt idx="5">
                  <c:v>44225</c:v>
                </c:pt>
                <c:pt idx="6">
                  <c:v>44218</c:v>
                </c:pt>
                <c:pt idx="7">
                  <c:v>44211</c:v>
                </c:pt>
                <c:pt idx="8">
                  <c:v>44204</c:v>
                </c:pt>
                <c:pt idx="9">
                  <c:v>44196</c:v>
                </c:pt>
                <c:pt idx="10">
                  <c:v>44190</c:v>
                </c:pt>
                <c:pt idx="11">
                  <c:v>44183</c:v>
                </c:pt>
                <c:pt idx="12">
                  <c:v>44176</c:v>
                </c:pt>
                <c:pt idx="13">
                  <c:v>44169</c:v>
                </c:pt>
                <c:pt idx="14">
                  <c:v>44162</c:v>
                </c:pt>
                <c:pt idx="15">
                  <c:v>44155</c:v>
                </c:pt>
                <c:pt idx="16">
                  <c:v>44148</c:v>
                </c:pt>
                <c:pt idx="17">
                  <c:v>44141</c:v>
                </c:pt>
                <c:pt idx="18">
                  <c:v>44134</c:v>
                </c:pt>
                <c:pt idx="19">
                  <c:v>44127</c:v>
                </c:pt>
                <c:pt idx="20">
                  <c:v>44120</c:v>
                </c:pt>
                <c:pt idx="21">
                  <c:v>44113</c:v>
                </c:pt>
                <c:pt idx="22">
                  <c:v>44104</c:v>
                </c:pt>
                <c:pt idx="23">
                  <c:v>44099</c:v>
                </c:pt>
              </c:numCache>
            </c:numRef>
          </c:cat>
          <c:val>
            <c:numRef>
              <c:f>转债!$J$5:$J$28</c:f>
              <c:numCache>
                <c:formatCode>General</c:formatCode>
                <c:ptCount val="24"/>
                <c:pt idx="0">
                  <c:v>15.159101217377181</c:v>
                </c:pt>
                <c:pt idx="1">
                  <c:v>16.777585909003157</c:v>
                </c:pt>
                <c:pt idx="2">
                  <c:v>26.451087233373237</c:v>
                </c:pt>
                <c:pt idx="3">
                  <c:v>27.082968273060249</c:v>
                </c:pt>
                <c:pt idx="4">
                  <c:v>19.986610128932437</c:v>
                </c:pt>
                <c:pt idx="5">
                  <c:v>17.110269238114761</c:v>
                </c:pt>
                <c:pt idx="6">
                  <c:v>21.876360496851909</c:v>
                </c:pt>
                <c:pt idx="7">
                  <c:v>19.432284521368558</c:v>
                </c:pt>
                <c:pt idx="8">
                  <c:v>20.249554181538223</c:v>
                </c:pt>
                <c:pt idx="9">
                  <c:v>14.032032146193796</c:v>
                </c:pt>
                <c:pt idx="10">
                  <c:v>10.32800588951266</c:v>
                </c:pt>
                <c:pt idx="11">
                  <c:v>9.4079686625551329</c:v>
                </c:pt>
                <c:pt idx="12">
                  <c:v>6.9935686956053011</c:v>
                </c:pt>
                <c:pt idx="13">
                  <c:v>10.851036240178825</c:v>
                </c:pt>
                <c:pt idx="14">
                  <c:v>8.987778088401166</c:v>
                </c:pt>
                <c:pt idx="15">
                  <c:v>8.1677206952369694</c:v>
                </c:pt>
                <c:pt idx="16">
                  <c:v>6.2763313853921421</c:v>
                </c:pt>
                <c:pt idx="17">
                  <c:v>6.9079804786918331</c:v>
                </c:pt>
                <c:pt idx="18">
                  <c:v>2.7420483089182879</c:v>
                </c:pt>
                <c:pt idx="19">
                  <c:v>3.248704557545179</c:v>
                </c:pt>
                <c:pt idx="20">
                  <c:v>4.8501827650005103</c:v>
                </c:pt>
                <c:pt idx="21">
                  <c:v>2.4314896017121557</c:v>
                </c:pt>
                <c:pt idx="22">
                  <c:v>0.3801666933040293</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232551936"/>
        <c:axId val="232553472"/>
      </c:lineChart>
      <c:dateAx>
        <c:axId val="23255193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232553472"/>
        <c:crosses val="autoZero"/>
        <c:auto val="0"/>
        <c:lblOffset val="0"/>
        <c:baseTimeUnit val="days"/>
        <c:majorUnit val="14"/>
        <c:majorTimeUnit val="days"/>
      </c:dateAx>
      <c:valAx>
        <c:axId val="23255347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255193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232586624"/>
        <c:axId val="232723584"/>
      </c:lineChart>
      <c:dateAx>
        <c:axId val="23258662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2723584"/>
        <c:crosses val="autoZero"/>
        <c:auto val="0"/>
        <c:lblOffset val="0"/>
        <c:baseTimeUnit val="days"/>
        <c:majorUnit val="1"/>
        <c:majorTimeUnit val="months"/>
      </c:dateAx>
      <c:valAx>
        <c:axId val="232723584"/>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258662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232762752"/>
        <c:axId val="232768640"/>
      </c:lineChart>
      <c:dateAx>
        <c:axId val="23276275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2768640"/>
        <c:crosses val="autoZero"/>
        <c:auto val="0"/>
        <c:lblOffset val="0"/>
        <c:baseTimeUnit val="days"/>
        <c:majorUnit val="1"/>
        <c:majorTimeUnit val="months"/>
      </c:dateAx>
      <c:valAx>
        <c:axId val="23276864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276275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44261</c:v>
                </c:pt>
                <c:pt idx="1">
                  <c:v>44254</c:v>
                </c:pt>
                <c:pt idx="2">
                  <c:v>44247</c:v>
                </c:pt>
                <c:pt idx="3">
                  <c:v>44240</c:v>
                </c:pt>
                <c:pt idx="4">
                  <c:v>44233</c:v>
                </c:pt>
                <c:pt idx="5">
                  <c:v>44226</c:v>
                </c:pt>
                <c:pt idx="6">
                  <c:v>44219</c:v>
                </c:pt>
                <c:pt idx="7">
                  <c:v>44212</c:v>
                </c:pt>
                <c:pt idx="8">
                  <c:v>44205</c:v>
                </c:pt>
                <c:pt idx="9">
                  <c:v>44198</c:v>
                </c:pt>
                <c:pt idx="10">
                  <c:v>44191</c:v>
                </c:pt>
                <c:pt idx="11">
                  <c:v>44184</c:v>
                </c:pt>
                <c:pt idx="12">
                  <c:v>44177</c:v>
                </c:pt>
                <c:pt idx="13">
                  <c:v>44170</c:v>
                </c:pt>
                <c:pt idx="14">
                  <c:v>44163</c:v>
                </c:pt>
                <c:pt idx="15">
                  <c:v>44156</c:v>
                </c:pt>
                <c:pt idx="16">
                  <c:v>44149</c:v>
                </c:pt>
                <c:pt idx="17">
                  <c:v>44142</c:v>
                </c:pt>
                <c:pt idx="18">
                  <c:v>44135</c:v>
                </c:pt>
                <c:pt idx="19">
                  <c:v>44128</c:v>
                </c:pt>
                <c:pt idx="20">
                  <c:v>44121</c:v>
                </c:pt>
                <c:pt idx="21">
                  <c:v>44114</c:v>
                </c:pt>
                <c:pt idx="22">
                  <c:v>44107</c:v>
                </c:pt>
                <c:pt idx="23">
                  <c:v>44100</c:v>
                </c:pt>
                <c:pt idx="24">
                  <c:v>44093</c:v>
                </c:pt>
                <c:pt idx="25">
                  <c:v>44086</c:v>
                </c:pt>
              </c:numCache>
            </c:numRef>
          </c:cat>
          <c:val>
            <c:numRef>
              <c:f>汇率!$B$3:$B$28</c:f>
              <c:numCache>
                <c:formatCode>###,###,###,###,##0.00</c:formatCode>
                <c:ptCount val="26"/>
                <c:pt idx="0">
                  <c:v>6.4767999999999999</c:v>
                </c:pt>
                <c:pt idx="1">
                  <c:v>6.4589999999999996</c:v>
                </c:pt>
                <c:pt idx="2">
                  <c:v>6.4574999999999996</c:v>
                </c:pt>
                <c:pt idx="3">
                  <c:v>6.4379999999999997</c:v>
                </c:pt>
                <c:pt idx="4">
                  <c:v>6.4809999999999999</c:v>
                </c:pt>
                <c:pt idx="5">
                  <c:v>6.4611999999999998</c:v>
                </c:pt>
                <c:pt idx="6">
                  <c:v>6.4776999999999996</c:v>
                </c:pt>
                <c:pt idx="7">
                  <c:v>6.4752000000000001</c:v>
                </c:pt>
                <c:pt idx="8">
                  <c:v>6.4718999999999998</c:v>
                </c:pt>
                <c:pt idx="9">
                  <c:v>6.5397999999999996</c:v>
                </c:pt>
                <c:pt idx="10">
                  <c:v>6.5240999999999998</c:v>
                </c:pt>
                <c:pt idx="11">
                  <c:v>6.5415000000000001</c:v>
                </c:pt>
                <c:pt idx="12">
                  <c:v>6.5411000000000001</c:v>
                </c:pt>
                <c:pt idx="13">
                  <c:v>6.5301999999999998</c:v>
                </c:pt>
                <c:pt idx="14">
                  <c:v>6.5823</c:v>
                </c:pt>
                <c:pt idx="15">
                  <c:v>6.5713999999999997</c:v>
                </c:pt>
                <c:pt idx="16">
                  <c:v>6.6143999999999998</c:v>
                </c:pt>
                <c:pt idx="17">
                  <c:v>6.6215000000000002</c:v>
                </c:pt>
                <c:pt idx="18">
                  <c:v>6.7001999999999997</c:v>
                </c:pt>
                <c:pt idx="19">
                  <c:v>6.6689999999999996</c:v>
                </c:pt>
                <c:pt idx="20">
                  <c:v>6.6981999999999999</c:v>
                </c:pt>
                <c:pt idx="21">
                  <c:v>6.7134999999999998</c:v>
                </c:pt>
                <c:pt idx="22">
                  <c:v>6.8106</c:v>
                </c:pt>
                <c:pt idx="23">
                  <c:v>6.8201999999999998</c:v>
                </c:pt>
                <c:pt idx="24">
                  <c:v>6.7587999999999999</c:v>
                </c:pt>
                <c:pt idx="25">
                  <c:v>6.8369</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221072768"/>
        <c:axId val="221078656"/>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44261</c:v>
                </c:pt>
                <c:pt idx="1">
                  <c:v>44254</c:v>
                </c:pt>
                <c:pt idx="2">
                  <c:v>44247</c:v>
                </c:pt>
                <c:pt idx="3">
                  <c:v>44240</c:v>
                </c:pt>
                <c:pt idx="4">
                  <c:v>44233</c:v>
                </c:pt>
                <c:pt idx="5">
                  <c:v>44226</c:v>
                </c:pt>
                <c:pt idx="6">
                  <c:v>44219</c:v>
                </c:pt>
                <c:pt idx="7">
                  <c:v>44212</c:v>
                </c:pt>
                <c:pt idx="8">
                  <c:v>44205</c:v>
                </c:pt>
                <c:pt idx="9">
                  <c:v>44198</c:v>
                </c:pt>
                <c:pt idx="10">
                  <c:v>44191</c:v>
                </c:pt>
                <c:pt idx="11">
                  <c:v>44184</c:v>
                </c:pt>
                <c:pt idx="12">
                  <c:v>44177</c:v>
                </c:pt>
                <c:pt idx="13">
                  <c:v>44170</c:v>
                </c:pt>
                <c:pt idx="14">
                  <c:v>44163</c:v>
                </c:pt>
                <c:pt idx="15">
                  <c:v>44156</c:v>
                </c:pt>
                <c:pt idx="16">
                  <c:v>44149</c:v>
                </c:pt>
                <c:pt idx="17">
                  <c:v>44142</c:v>
                </c:pt>
                <c:pt idx="18">
                  <c:v>44135</c:v>
                </c:pt>
                <c:pt idx="19">
                  <c:v>44128</c:v>
                </c:pt>
                <c:pt idx="20">
                  <c:v>44121</c:v>
                </c:pt>
                <c:pt idx="21">
                  <c:v>44114</c:v>
                </c:pt>
                <c:pt idx="22">
                  <c:v>44107</c:v>
                </c:pt>
                <c:pt idx="23">
                  <c:v>44100</c:v>
                </c:pt>
                <c:pt idx="24">
                  <c:v>44093</c:v>
                </c:pt>
                <c:pt idx="25">
                  <c:v>44086</c:v>
                </c:pt>
              </c:numCache>
            </c:numRef>
          </c:cat>
          <c:val>
            <c:numRef>
              <c:f>汇率!$C$3:$C$28</c:f>
              <c:numCache>
                <c:formatCode>###,###,###,###,##0.00</c:formatCode>
                <c:ptCount val="26"/>
                <c:pt idx="0">
                  <c:v>168.56999999999996</c:v>
                </c:pt>
                <c:pt idx="1">
                  <c:v>183.98</c:v>
                </c:pt>
                <c:pt idx="2">
                  <c:v>191.78</c:v>
                </c:pt>
                <c:pt idx="3">
                  <c:v>209.49</c:v>
                </c:pt>
                <c:pt idx="4">
                  <c:v>202.64000000000001</c:v>
                </c:pt>
                <c:pt idx="5">
                  <c:v>206.86</c:v>
                </c:pt>
                <c:pt idx="6">
                  <c:v>201.85</c:v>
                </c:pt>
                <c:pt idx="7">
                  <c:v>204.07999999999998</c:v>
                </c:pt>
                <c:pt idx="8">
                  <c:v>201.56</c:v>
                </c:pt>
                <c:pt idx="9">
                  <c:v>221.29</c:v>
                </c:pt>
                <c:pt idx="10">
                  <c:v>229.03000000000003</c:v>
                </c:pt>
                <c:pt idx="11">
                  <c:v>234.02000000000004</c:v>
                </c:pt>
                <c:pt idx="12">
                  <c:v>239.51000000000002</c:v>
                </c:pt>
                <c:pt idx="13">
                  <c:v>229.50999999999996</c:v>
                </c:pt>
                <c:pt idx="14">
                  <c:v>246</c:v>
                </c:pt>
                <c:pt idx="15">
                  <c:v>248</c:v>
                </c:pt>
                <c:pt idx="16">
                  <c:v>238.15</c:v>
                </c:pt>
                <c:pt idx="17">
                  <c:v>237.63</c:v>
                </c:pt>
                <c:pt idx="18">
                  <c:v>230.10000000000002</c:v>
                </c:pt>
                <c:pt idx="19">
                  <c:v>234.57</c:v>
                </c:pt>
                <c:pt idx="20">
                  <c:v>246.02000000000004</c:v>
                </c:pt>
                <c:pt idx="21">
                  <c:v>239.73</c:v>
                </c:pt>
                <c:pt idx="22">
                  <c:v>245.82000000000002</c:v>
                </c:pt>
                <c:pt idx="23">
                  <c:v>246.95</c:v>
                </c:pt>
                <c:pt idx="24">
                  <c:v>241.62</c:v>
                </c:pt>
                <c:pt idx="25">
                  <c:v>246.45999999999998</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221090176"/>
        <c:axId val="221080192"/>
      </c:lineChart>
      <c:dateAx>
        <c:axId val="22107276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21078656"/>
        <c:crosses val="autoZero"/>
        <c:auto val="0"/>
        <c:lblOffset val="0"/>
        <c:baseTimeUnit val="days"/>
      </c:dateAx>
      <c:valAx>
        <c:axId val="221078656"/>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21072768"/>
        <c:crosses val="autoZero"/>
        <c:crossBetween val="between"/>
      </c:valAx>
      <c:valAx>
        <c:axId val="221080192"/>
        <c:scaling>
          <c:orientation val="minMax"/>
        </c:scaling>
        <c:delete val="0"/>
        <c:axPos val="r"/>
        <c:numFmt formatCode="#,##0_);[Red]\(#,##0\)" sourceLinked="0"/>
        <c:majorTickMark val="out"/>
        <c:minorTickMark val="none"/>
        <c:tickLblPos val="nextTo"/>
        <c:spPr>
          <a:ln w="3175">
            <a:solidFill>
              <a:sysClr val="windowText" lastClr="000000"/>
            </a:solidFill>
          </a:ln>
        </c:spPr>
        <c:crossAx val="221090176"/>
        <c:crosses val="max"/>
        <c:crossBetween val="between"/>
      </c:valAx>
      <c:dateAx>
        <c:axId val="221090176"/>
        <c:scaling>
          <c:orientation val="minMax"/>
        </c:scaling>
        <c:delete val="1"/>
        <c:axPos val="b"/>
        <c:numFmt formatCode="yyyy\-mm\-dd;@" sourceLinked="1"/>
        <c:majorTickMark val="out"/>
        <c:minorTickMark val="none"/>
        <c:tickLblPos val="nextTo"/>
        <c:crossAx val="221080192"/>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0-CC0B-43AA-8598-76B74CCEE835}"/>
            </c:ext>
          </c:extLst>
        </c:ser>
        <c:dLbls>
          <c:showLegendKey val="0"/>
          <c:showVal val="0"/>
          <c:showCatName val="0"/>
          <c:showSerName val="0"/>
          <c:showPercent val="0"/>
          <c:showBubbleSize val="0"/>
        </c:dLbls>
        <c:marker val="1"/>
        <c:smooth val="0"/>
        <c:axId val="220199936"/>
        <c:axId val="232596224"/>
      </c:lineChart>
      <c:dateAx>
        <c:axId val="220199936"/>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232596224"/>
        <c:crosses val="autoZero"/>
        <c:auto val="0"/>
        <c:lblOffset val="0"/>
        <c:baseTimeUnit val="days"/>
        <c:majorUnit val="1"/>
        <c:majorTimeUnit val="months"/>
      </c:dateAx>
      <c:valAx>
        <c:axId val="232596224"/>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220199936"/>
        <c:crosses val="autoZero"/>
        <c:crossBetween val="between"/>
      </c:valAx>
      <c:spPr>
        <a:solidFill>
          <a:schemeClr val="bg1"/>
        </a:solidFill>
        <a:ln>
          <a:noFill/>
        </a:ln>
        <a:effectLst/>
      </c:spPr>
    </c:plotArea>
    <c:legend>
      <c:legendPos val="r"/>
      <c:layout>
        <c:manualLayout>
          <c:xMode val="edge"/>
          <c:yMode val="edge"/>
          <c:x val="0.15225"/>
          <c:y val="2.3337707786526686E-3"/>
          <c:w val="0.78623836943868375"/>
          <c:h val="0.1009733183213889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0.14638</cdr:x>
      <cdr:y>0.07281</cdr:y>
    </cdr:to>
    <cdr:sp macro="" textlink="">
      <cdr:nvSpPr>
        <cdr:cNvPr id="5" name="Text Box 1"/>
        <cdr:cNvSpPr txBox="1">
          <a:spLocks xmlns:a="http://schemas.openxmlformats.org/drawingml/2006/main" noChangeArrowheads="1"/>
        </cdr:cNvSpPr>
      </cdr:nvSpPr>
      <cdr:spPr bwMode="auto">
        <a:xfrm xmlns:a="http://schemas.openxmlformats.org/drawingml/2006/main">
          <a:off x="-3847795" y="0"/>
          <a:ext cx="438912" cy="13898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1FB1BC-24A1-49DC-9162-51C85FFB5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7</Pages>
  <Words>858</Words>
  <Characters>4893</Characters>
  <Application>Microsoft Office Word</Application>
  <DocSecurity>0</DocSecurity>
  <Lines>40</Lines>
  <Paragraphs>11</Paragraphs>
  <ScaleCrop>false</ScaleCrop>
  <Company>Microsoft</Company>
  <LinksUpToDate>false</LinksUpToDate>
  <CharactersWithSpaces>5740</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11</cp:revision>
  <cp:lastPrinted>2019-06-26T06:05:00Z</cp:lastPrinted>
  <dcterms:created xsi:type="dcterms:W3CDTF">2021-03-07T13:23:00Z</dcterms:created>
  <dcterms:modified xsi:type="dcterms:W3CDTF">2021-03-08T04:09:00Z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